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34"/>
        <w:tblW w:w="11171" w:type="dxa"/>
        <w:tblLook w:val="0000" w:firstRow="0" w:lastRow="0" w:firstColumn="0" w:lastColumn="0" w:noHBand="0" w:noVBand="0"/>
      </w:tblPr>
      <w:tblGrid>
        <w:gridCol w:w="4359"/>
        <w:gridCol w:w="1149"/>
        <w:gridCol w:w="272"/>
        <w:gridCol w:w="3780"/>
        <w:gridCol w:w="1611"/>
      </w:tblGrid>
      <w:tr w:rsidR="003A2996" w:rsidRPr="00317CE4" w:rsidTr="00933424">
        <w:trPr>
          <w:cantSplit/>
          <w:trHeight w:val="352"/>
        </w:trPr>
        <w:tc>
          <w:tcPr>
            <w:tcW w:w="11171" w:type="dxa"/>
            <w:gridSpan w:val="5"/>
            <w:tcBorders>
              <w:top w:val="single" w:sz="8" w:space="0" w:color="auto"/>
              <w:left w:val="nil"/>
              <w:bottom w:val="nil"/>
              <w:right w:val="nil"/>
            </w:tcBorders>
            <w:shd w:val="clear" w:color="auto" w:fill="auto"/>
            <w:noWrap/>
          </w:tcPr>
          <w:p w:rsidR="003A2996" w:rsidRPr="00317CE4" w:rsidRDefault="003A2996" w:rsidP="003A2996">
            <w:pPr>
              <w:jc w:val="center"/>
              <w:rPr>
                <w:rFonts w:ascii="Arial" w:hAnsi="Arial" w:cs="Arial"/>
                <w:sz w:val="16"/>
                <w:szCs w:val="16"/>
              </w:rPr>
            </w:pPr>
            <w:bookmarkStart w:id="0" w:name="_GoBack"/>
            <w:bookmarkEnd w:id="0"/>
            <w:r w:rsidRPr="00317CE4">
              <w:rPr>
                <w:rFonts w:ascii="Arial" w:hAnsi="Arial" w:cs="Arial"/>
                <w:bCs/>
                <w:sz w:val="16"/>
                <w:szCs w:val="16"/>
              </w:rPr>
              <w:t xml:space="preserve">NB Use of this </w:t>
            </w:r>
            <w:r w:rsidRPr="00317CE4">
              <w:rPr>
                <w:rFonts w:ascii="Arial" w:hAnsi="Arial" w:cs="Arial"/>
                <w:b/>
                <w:bCs/>
                <w:sz w:val="16"/>
                <w:szCs w:val="16"/>
                <w:u w:val="single"/>
              </w:rPr>
              <w:t>template is optional</w:t>
            </w:r>
            <w:r w:rsidRPr="00317CE4">
              <w:rPr>
                <w:rFonts w:ascii="Arial" w:hAnsi="Arial" w:cs="Arial"/>
                <w:sz w:val="16"/>
                <w:szCs w:val="16"/>
              </w:rPr>
              <w:t xml:space="preserve"> – regulators may choose to agree an alternative approach with relevant business representatives.</w:t>
            </w:r>
          </w:p>
        </w:tc>
      </w:tr>
      <w:tr w:rsidR="003A2996" w:rsidRPr="00317CE4" w:rsidTr="00933424">
        <w:trPr>
          <w:trHeight w:val="352"/>
        </w:trPr>
        <w:tc>
          <w:tcPr>
            <w:tcW w:w="11171" w:type="dxa"/>
            <w:gridSpan w:val="5"/>
            <w:tcBorders>
              <w:top w:val="nil"/>
              <w:left w:val="nil"/>
              <w:bottom w:val="nil"/>
              <w:right w:val="nil"/>
            </w:tcBorders>
            <w:shd w:val="clear" w:color="auto" w:fill="auto"/>
            <w:noWrap/>
          </w:tcPr>
          <w:p w:rsidR="003A2996" w:rsidRPr="00317CE4" w:rsidRDefault="003A2996" w:rsidP="003A2996">
            <w:pPr>
              <w:jc w:val="center"/>
              <w:rPr>
                <w:rFonts w:ascii="Arial" w:hAnsi="Arial" w:cs="Arial"/>
                <w:sz w:val="16"/>
                <w:szCs w:val="16"/>
              </w:rPr>
            </w:pPr>
            <w:r w:rsidRPr="00317CE4">
              <w:rPr>
                <w:rFonts w:ascii="Arial" w:hAnsi="Arial" w:cs="Arial"/>
                <w:bCs/>
                <w:sz w:val="16"/>
                <w:szCs w:val="16"/>
              </w:rPr>
              <w:t xml:space="preserve">Please keep all entries </w:t>
            </w:r>
            <w:r w:rsidRPr="00317CE4">
              <w:rPr>
                <w:rFonts w:ascii="Arial" w:hAnsi="Arial" w:cs="Arial"/>
                <w:b/>
                <w:bCs/>
                <w:sz w:val="16"/>
                <w:szCs w:val="16"/>
                <w:u w:val="single"/>
              </w:rPr>
              <w:t>as brief as possible</w:t>
            </w:r>
            <w:r w:rsidRPr="00317CE4">
              <w:rPr>
                <w:rFonts w:ascii="Arial" w:hAnsi="Arial" w:cs="Arial"/>
                <w:sz w:val="16"/>
                <w:szCs w:val="16"/>
              </w:rPr>
              <w:t xml:space="preserve"> consistent with allowing businesses to understand them.</w:t>
            </w:r>
          </w:p>
        </w:tc>
      </w:tr>
      <w:tr w:rsidR="003A2996" w:rsidRPr="00317CE4" w:rsidTr="00933424">
        <w:trPr>
          <w:trHeight w:val="370"/>
        </w:trPr>
        <w:tc>
          <w:tcPr>
            <w:tcW w:w="11171" w:type="dxa"/>
            <w:gridSpan w:val="5"/>
            <w:tcBorders>
              <w:top w:val="nil"/>
              <w:left w:val="nil"/>
              <w:bottom w:val="single" w:sz="8" w:space="0" w:color="auto"/>
              <w:right w:val="nil"/>
            </w:tcBorders>
            <w:shd w:val="clear" w:color="auto" w:fill="auto"/>
            <w:noWrap/>
          </w:tcPr>
          <w:p w:rsidR="003A2996" w:rsidRPr="00317CE4" w:rsidRDefault="003A2996" w:rsidP="003A2996">
            <w:pPr>
              <w:jc w:val="center"/>
              <w:rPr>
                <w:rFonts w:ascii="Arial" w:hAnsi="Arial" w:cs="Arial"/>
                <w:sz w:val="16"/>
                <w:szCs w:val="16"/>
              </w:rPr>
            </w:pPr>
            <w:r w:rsidRPr="00317CE4">
              <w:rPr>
                <w:rFonts w:ascii="Arial" w:hAnsi="Arial" w:cs="Arial"/>
                <w:bCs/>
                <w:sz w:val="16"/>
                <w:szCs w:val="16"/>
              </w:rPr>
              <w:t xml:space="preserve"> </w:t>
            </w:r>
          </w:p>
        </w:tc>
      </w:tr>
      <w:tr w:rsidR="003A2996" w:rsidRPr="00317CE4" w:rsidTr="00933424">
        <w:trPr>
          <w:cantSplit/>
          <w:trHeight w:val="406"/>
        </w:trPr>
        <w:tc>
          <w:tcPr>
            <w:tcW w:w="11171" w:type="dxa"/>
            <w:gridSpan w:val="5"/>
            <w:tcBorders>
              <w:top w:val="single" w:sz="8" w:space="0" w:color="auto"/>
              <w:left w:val="nil"/>
              <w:bottom w:val="single" w:sz="8" w:space="0" w:color="auto"/>
              <w:right w:val="nil"/>
            </w:tcBorders>
            <w:shd w:val="clear" w:color="auto" w:fill="339966"/>
            <w:noWrap/>
          </w:tcPr>
          <w:p w:rsidR="003A2996" w:rsidRPr="00317CE4" w:rsidRDefault="003A2996" w:rsidP="003A2996">
            <w:pPr>
              <w:jc w:val="center"/>
              <w:rPr>
                <w:rFonts w:ascii="Arial" w:hAnsi="Arial" w:cs="Arial"/>
                <w:b/>
                <w:bCs/>
                <w:color w:val="FFFFFF"/>
                <w:sz w:val="26"/>
                <w:szCs w:val="26"/>
              </w:rPr>
            </w:pPr>
            <w:r w:rsidRPr="00317CE4">
              <w:rPr>
                <w:rFonts w:ascii="Arial" w:hAnsi="Arial" w:cs="Arial"/>
                <w:b/>
                <w:bCs/>
                <w:color w:val="FFFFFF"/>
                <w:sz w:val="26"/>
                <w:szCs w:val="26"/>
              </w:rPr>
              <w:t>Business Engagement Assessment</w:t>
            </w:r>
          </w:p>
        </w:tc>
      </w:tr>
      <w:tr w:rsidR="003A2996" w:rsidRPr="00317CE4" w:rsidTr="00933424">
        <w:trPr>
          <w:cantSplit/>
          <w:trHeight w:val="370"/>
        </w:trPr>
        <w:tc>
          <w:tcPr>
            <w:tcW w:w="4359" w:type="dxa"/>
            <w:tcBorders>
              <w:top w:val="nil"/>
              <w:left w:val="nil"/>
              <w:bottom w:val="single" w:sz="8" w:space="0" w:color="auto"/>
              <w:right w:val="single" w:sz="12" w:space="0" w:color="auto"/>
            </w:tcBorders>
            <w:shd w:val="clear" w:color="auto" w:fill="auto"/>
            <w:noWrap/>
            <w:vAlign w:val="bottom"/>
          </w:tcPr>
          <w:p w:rsidR="003A2996" w:rsidRPr="00317CE4" w:rsidRDefault="003A2996" w:rsidP="003A2996">
            <w:pPr>
              <w:rPr>
                <w:rFonts w:ascii="Arial" w:hAnsi="Arial" w:cs="Arial"/>
                <w:b/>
                <w:bCs/>
                <w:i/>
                <w:iCs/>
                <w:sz w:val="22"/>
                <w:szCs w:val="22"/>
              </w:rPr>
            </w:pPr>
            <w:r w:rsidRPr="00317CE4">
              <w:rPr>
                <w:rFonts w:ascii="Arial" w:hAnsi="Arial" w:cs="Arial"/>
                <w:b/>
                <w:bCs/>
                <w:i/>
                <w:iCs/>
                <w:sz w:val="22"/>
                <w:szCs w:val="22"/>
              </w:rPr>
              <w:t>Title of Proposal</w:t>
            </w:r>
          </w:p>
        </w:tc>
        <w:tc>
          <w:tcPr>
            <w:tcW w:w="6812" w:type="dxa"/>
            <w:gridSpan w:val="4"/>
            <w:tcBorders>
              <w:top w:val="single" w:sz="8" w:space="0" w:color="auto"/>
              <w:left w:val="nil"/>
              <w:bottom w:val="single" w:sz="12" w:space="0" w:color="auto"/>
              <w:right w:val="single" w:sz="12" w:space="0" w:color="000000"/>
            </w:tcBorders>
            <w:shd w:val="clear" w:color="auto" w:fill="auto"/>
            <w:noWrap/>
            <w:vAlign w:val="bottom"/>
          </w:tcPr>
          <w:p w:rsidR="003A2996" w:rsidRPr="00317CE4" w:rsidRDefault="00214A31" w:rsidP="00FE1954">
            <w:pPr>
              <w:jc w:val="center"/>
              <w:rPr>
                <w:rFonts w:ascii="Arial" w:hAnsi="Arial" w:cs="Arial"/>
                <w:b/>
                <w:bCs/>
                <w:i/>
                <w:iCs/>
              </w:rPr>
            </w:pPr>
            <w:r>
              <w:rPr>
                <w:rFonts w:ascii="Arial" w:hAnsi="Arial" w:cs="Arial"/>
                <w:b/>
                <w:bCs/>
                <w:i/>
                <w:iCs/>
              </w:rPr>
              <w:t xml:space="preserve">Guidance review for </w:t>
            </w:r>
            <w:r w:rsidR="00FE1954">
              <w:rPr>
                <w:rFonts w:ascii="Arial" w:hAnsi="Arial" w:cs="Arial"/>
                <w:b/>
                <w:bCs/>
                <w:i/>
                <w:iCs/>
              </w:rPr>
              <w:t xml:space="preserve">controlling </w:t>
            </w:r>
            <w:r w:rsidR="007E1B12">
              <w:rPr>
                <w:rFonts w:ascii="Arial" w:hAnsi="Arial" w:cs="Arial"/>
                <w:b/>
                <w:bCs/>
                <w:i/>
                <w:iCs/>
              </w:rPr>
              <w:t xml:space="preserve">the risks of infection </w:t>
            </w:r>
            <w:r w:rsidR="00FE1954">
              <w:rPr>
                <w:rFonts w:ascii="Arial" w:hAnsi="Arial" w:cs="Arial"/>
                <w:b/>
                <w:bCs/>
                <w:i/>
                <w:iCs/>
              </w:rPr>
              <w:t>in the mortuary, post mortem room, funeral premises and exhumation</w:t>
            </w:r>
            <w:r w:rsidR="003A2996" w:rsidRPr="00317CE4">
              <w:rPr>
                <w:rFonts w:ascii="Arial" w:hAnsi="Arial" w:cs="Arial"/>
                <w:b/>
                <w:bCs/>
                <w:i/>
                <w:iCs/>
              </w:rPr>
              <w:t> </w:t>
            </w:r>
          </w:p>
        </w:tc>
      </w:tr>
      <w:tr w:rsidR="003A2996" w:rsidRPr="00317CE4" w:rsidTr="00933424">
        <w:trPr>
          <w:cantSplit/>
          <w:trHeight w:val="388"/>
        </w:trPr>
        <w:tc>
          <w:tcPr>
            <w:tcW w:w="4359" w:type="dxa"/>
            <w:tcBorders>
              <w:top w:val="nil"/>
              <w:left w:val="nil"/>
              <w:bottom w:val="single" w:sz="8" w:space="0" w:color="auto"/>
              <w:right w:val="single" w:sz="12" w:space="0" w:color="auto"/>
            </w:tcBorders>
            <w:shd w:val="clear" w:color="auto" w:fill="auto"/>
            <w:noWrap/>
            <w:vAlign w:val="bottom"/>
          </w:tcPr>
          <w:p w:rsidR="003A2996" w:rsidRPr="00317CE4" w:rsidRDefault="003A2996" w:rsidP="003A2996">
            <w:pPr>
              <w:rPr>
                <w:rFonts w:ascii="Arial" w:hAnsi="Arial" w:cs="Arial"/>
                <w:sz w:val="20"/>
                <w:szCs w:val="20"/>
              </w:rPr>
            </w:pPr>
            <w:r w:rsidRPr="00317CE4">
              <w:rPr>
                <w:rFonts w:ascii="Arial" w:hAnsi="Arial" w:cs="Arial"/>
                <w:sz w:val="20"/>
                <w:szCs w:val="20"/>
              </w:rPr>
              <w:t>Lead Regulator</w:t>
            </w:r>
          </w:p>
        </w:tc>
        <w:tc>
          <w:tcPr>
            <w:tcW w:w="6812" w:type="dxa"/>
            <w:gridSpan w:val="4"/>
            <w:tcBorders>
              <w:top w:val="single" w:sz="12" w:space="0" w:color="auto"/>
              <w:left w:val="nil"/>
              <w:bottom w:val="single" w:sz="12" w:space="0" w:color="auto"/>
              <w:right w:val="single" w:sz="12" w:space="0" w:color="000000"/>
            </w:tcBorders>
            <w:shd w:val="clear" w:color="auto" w:fill="auto"/>
            <w:noWrap/>
            <w:vAlign w:val="bottom"/>
          </w:tcPr>
          <w:p w:rsidR="003A2996" w:rsidRPr="00317CE4" w:rsidRDefault="007E1B12" w:rsidP="003A2996">
            <w:pPr>
              <w:jc w:val="center"/>
              <w:rPr>
                <w:rFonts w:ascii="Arial" w:hAnsi="Arial" w:cs="Arial"/>
                <w:i/>
                <w:iCs/>
                <w:sz w:val="20"/>
                <w:szCs w:val="20"/>
              </w:rPr>
            </w:pPr>
            <w:r>
              <w:rPr>
                <w:rFonts w:ascii="Arial" w:hAnsi="Arial" w:cs="Arial"/>
                <w:i/>
                <w:iCs/>
                <w:sz w:val="20"/>
                <w:szCs w:val="20"/>
              </w:rPr>
              <w:t>Health and Safety Executive</w:t>
            </w:r>
          </w:p>
        </w:tc>
      </w:tr>
      <w:tr w:rsidR="003A2996" w:rsidRPr="00317CE4" w:rsidTr="00933424">
        <w:trPr>
          <w:cantSplit/>
          <w:trHeight w:val="388"/>
        </w:trPr>
        <w:tc>
          <w:tcPr>
            <w:tcW w:w="4359" w:type="dxa"/>
            <w:tcBorders>
              <w:top w:val="nil"/>
              <w:left w:val="nil"/>
              <w:bottom w:val="single" w:sz="8" w:space="0" w:color="auto"/>
              <w:right w:val="single" w:sz="12" w:space="0" w:color="auto"/>
            </w:tcBorders>
            <w:shd w:val="clear" w:color="auto" w:fill="auto"/>
            <w:noWrap/>
            <w:vAlign w:val="bottom"/>
          </w:tcPr>
          <w:p w:rsidR="003A2996" w:rsidRPr="00317CE4" w:rsidRDefault="003A2996" w:rsidP="003A2996">
            <w:pPr>
              <w:rPr>
                <w:rFonts w:ascii="Arial" w:hAnsi="Arial" w:cs="Arial"/>
                <w:sz w:val="20"/>
                <w:szCs w:val="20"/>
              </w:rPr>
            </w:pPr>
            <w:r w:rsidRPr="00317CE4">
              <w:rPr>
                <w:rFonts w:ascii="Arial" w:hAnsi="Arial" w:cs="Arial"/>
                <w:sz w:val="20"/>
                <w:szCs w:val="20"/>
              </w:rPr>
              <w:t>Contact for enquiries</w:t>
            </w:r>
          </w:p>
        </w:tc>
        <w:tc>
          <w:tcPr>
            <w:tcW w:w="6812" w:type="dxa"/>
            <w:gridSpan w:val="4"/>
            <w:tcBorders>
              <w:top w:val="single" w:sz="12" w:space="0" w:color="auto"/>
              <w:left w:val="nil"/>
              <w:bottom w:val="single" w:sz="12" w:space="0" w:color="auto"/>
              <w:right w:val="single" w:sz="12" w:space="0" w:color="000000"/>
            </w:tcBorders>
            <w:shd w:val="clear" w:color="auto" w:fill="auto"/>
            <w:noWrap/>
            <w:vAlign w:val="bottom"/>
          </w:tcPr>
          <w:p w:rsidR="003A2996" w:rsidRPr="00317CE4" w:rsidRDefault="007E1B12" w:rsidP="003A2996">
            <w:pPr>
              <w:jc w:val="center"/>
              <w:rPr>
                <w:rFonts w:ascii="Arial" w:hAnsi="Arial" w:cs="Arial"/>
                <w:i/>
                <w:iCs/>
                <w:sz w:val="20"/>
                <w:szCs w:val="20"/>
              </w:rPr>
            </w:pPr>
            <w:r>
              <w:rPr>
                <w:rFonts w:ascii="Arial" w:hAnsi="Arial" w:cs="Arial"/>
                <w:i/>
                <w:iCs/>
                <w:sz w:val="20"/>
                <w:szCs w:val="20"/>
              </w:rPr>
              <w:t>Lyndsey Baldwin lyndsey.balddwin@hse.gsi.gov.uk</w:t>
            </w:r>
          </w:p>
        </w:tc>
      </w:tr>
      <w:tr w:rsidR="003A2996" w:rsidRPr="00317CE4" w:rsidTr="00933424">
        <w:trPr>
          <w:cantSplit/>
          <w:trHeight w:val="370"/>
        </w:trPr>
        <w:tc>
          <w:tcPr>
            <w:tcW w:w="4359" w:type="dxa"/>
            <w:tcBorders>
              <w:top w:val="nil"/>
              <w:left w:val="nil"/>
              <w:bottom w:val="single" w:sz="8" w:space="0" w:color="auto"/>
              <w:right w:val="nil"/>
            </w:tcBorders>
            <w:shd w:val="clear" w:color="auto" w:fill="auto"/>
            <w:noWrap/>
            <w:vAlign w:val="bottom"/>
          </w:tcPr>
          <w:p w:rsidR="003A2996" w:rsidRPr="00317CE4" w:rsidRDefault="003A2996" w:rsidP="003A2996">
            <w:pPr>
              <w:rPr>
                <w:rFonts w:ascii="Arial" w:hAnsi="Arial" w:cs="Arial"/>
                <w:sz w:val="20"/>
                <w:szCs w:val="20"/>
              </w:rPr>
            </w:pPr>
            <w:r w:rsidRPr="00317CE4">
              <w:rPr>
                <w:rFonts w:ascii="Arial" w:hAnsi="Arial" w:cs="Arial"/>
                <w:sz w:val="20"/>
                <w:szCs w:val="20"/>
              </w:rPr>
              <w:t> </w:t>
            </w:r>
          </w:p>
        </w:tc>
        <w:tc>
          <w:tcPr>
            <w:tcW w:w="1149" w:type="dxa"/>
            <w:tcBorders>
              <w:top w:val="nil"/>
              <w:left w:val="nil"/>
              <w:bottom w:val="single" w:sz="12" w:space="0" w:color="auto"/>
              <w:right w:val="nil"/>
            </w:tcBorders>
            <w:shd w:val="clear" w:color="auto" w:fill="auto"/>
            <w:noWrap/>
            <w:vAlign w:val="bottom"/>
          </w:tcPr>
          <w:p w:rsidR="003A2996" w:rsidRPr="00317CE4" w:rsidRDefault="003A2996" w:rsidP="003A2996">
            <w:pPr>
              <w:jc w:val="center"/>
              <w:rPr>
                <w:rFonts w:ascii="Arial" w:hAnsi="Arial" w:cs="Arial"/>
                <w:i/>
                <w:iCs/>
                <w:sz w:val="20"/>
                <w:szCs w:val="20"/>
              </w:rPr>
            </w:pPr>
            <w:r w:rsidRPr="00317CE4">
              <w:rPr>
                <w:rFonts w:ascii="Arial" w:hAnsi="Arial" w:cs="Arial"/>
                <w:i/>
                <w:iCs/>
                <w:sz w:val="20"/>
                <w:szCs w:val="20"/>
              </w:rPr>
              <w:t> </w:t>
            </w:r>
          </w:p>
        </w:tc>
        <w:tc>
          <w:tcPr>
            <w:tcW w:w="272" w:type="dxa"/>
            <w:tcBorders>
              <w:top w:val="nil"/>
              <w:left w:val="nil"/>
              <w:bottom w:val="nil"/>
              <w:right w:val="nil"/>
            </w:tcBorders>
            <w:shd w:val="clear" w:color="auto" w:fill="auto"/>
            <w:noWrap/>
            <w:vAlign w:val="bottom"/>
          </w:tcPr>
          <w:p w:rsidR="003A2996" w:rsidRPr="00317CE4" w:rsidRDefault="003A2996" w:rsidP="003A2996">
            <w:pPr>
              <w:rPr>
                <w:rFonts w:ascii="Arial" w:hAnsi="Arial" w:cs="Arial"/>
                <w:sz w:val="20"/>
                <w:szCs w:val="20"/>
              </w:rPr>
            </w:pPr>
          </w:p>
        </w:tc>
        <w:tc>
          <w:tcPr>
            <w:tcW w:w="3780" w:type="dxa"/>
            <w:tcBorders>
              <w:top w:val="nil"/>
              <w:left w:val="nil"/>
              <w:bottom w:val="single" w:sz="8" w:space="0" w:color="auto"/>
              <w:right w:val="nil"/>
            </w:tcBorders>
            <w:shd w:val="clear" w:color="auto" w:fill="auto"/>
            <w:noWrap/>
            <w:vAlign w:val="bottom"/>
          </w:tcPr>
          <w:p w:rsidR="003A2996" w:rsidRPr="00317CE4" w:rsidRDefault="003A2996" w:rsidP="003A2996">
            <w:pPr>
              <w:rPr>
                <w:rFonts w:ascii="Arial" w:hAnsi="Arial" w:cs="Arial"/>
                <w:sz w:val="20"/>
                <w:szCs w:val="20"/>
              </w:rPr>
            </w:pPr>
            <w:r w:rsidRPr="00317CE4">
              <w:rPr>
                <w:rFonts w:ascii="Arial" w:hAnsi="Arial" w:cs="Arial"/>
                <w:sz w:val="20"/>
                <w:szCs w:val="20"/>
              </w:rPr>
              <w:t> </w:t>
            </w:r>
          </w:p>
        </w:tc>
        <w:tc>
          <w:tcPr>
            <w:tcW w:w="1611" w:type="dxa"/>
            <w:tcBorders>
              <w:top w:val="nil"/>
              <w:left w:val="nil"/>
              <w:bottom w:val="single" w:sz="12" w:space="0" w:color="auto"/>
              <w:right w:val="nil"/>
            </w:tcBorders>
            <w:shd w:val="clear" w:color="auto" w:fill="auto"/>
            <w:noWrap/>
            <w:vAlign w:val="bottom"/>
          </w:tcPr>
          <w:p w:rsidR="003A2996" w:rsidRPr="00317CE4" w:rsidRDefault="003A2996" w:rsidP="003A2996">
            <w:pPr>
              <w:rPr>
                <w:rFonts w:ascii="Arial" w:hAnsi="Arial" w:cs="Arial"/>
                <w:sz w:val="20"/>
                <w:szCs w:val="20"/>
              </w:rPr>
            </w:pPr>
            <w:r w:rsidRPr="00317CE4">
              <w:rPr>
                <w:rFonts w:ascii="Arial" w:hAnsi="Arial" w:cs="Arial"/>
                <w:sz w:val="20"/>
                <w:szCs w:val="20"/>
              </w:rPr>
              <w:t> </w:t>
            </w:r>
          </w:p>
        </w:tc>
      </w:tr>
      <w:tr w:rsidR="003A2996" w:rsidRPr="00317CE4" w:rsidTr="00933424">
        <w:trPr>
          <w:cantSplit/>
          <w:trHeight w:val="370"/>
        </w:trPr>
        <w:tc>
          <w:tcPr>
            <w:tcW w:w="4359" w:type="dxa"/>
            <w:tcBorders>
              <w:top w:val="nil"/>
              <w:left w:val="nil"/>
              <w:bottom w:val="single" w:sz="8" w:space="0" w:color="auto"/>
              <w:right w:val="single" w:sz="12" w:space="0" w:color="auto"/>
            </w:tcBorders>
            <w:shd w:val="clear" w:color="auto" w:fill="auto"/>
            <w:noWrap/>
            <w:vAlign w:val="bottom"/>
          </w:tcPr>
          <w:p w:rsidR="003A2996" w:rsidRPr="00317CE4" w:rsidRDefault="003A2996" w:rsidP="003A2996">
            <w:pPr>
              <w:rPr>
                <w:rFonts w:ascii="Arial" w:hAnsi="Arial" w:cs="Arial"/>
                <w:sz w:val="20"/>
                <w:szCs w:val="20"/>
              </w:rPr>
            </w:pPr>
            <w:r w:rsidRPr="00317CE4">
              <w:rPr>
                <w:rFonts w:ascii="Arial" w:hAnsi="Arial" w:cs="Arial"/>
                <w:sz w:val="20"/>
                <w:szCs w:val="20"/>
              </w:rPr>
              <w:t>Date of assessment</w:t>
            </w:r>
          </w:p>
        </w:tc>
        <w:tc>
          <w:tcPr>
            <w:tcW w:w="1149" w:type="dxa"/>
            <w:tcBorders>
              <w:top w:val="nil"/>
              <w:left w:val="nil"/>
              <w:bottom w:val="single" w:sz="12" w:space="0" w:color="auto"/>
              <w:right w:val="single" w:sz="12" w:space="0" w:color="auto"/>
            </w:tcBorders>
            <w:shd w:val="clear" w:color="auto" w:fill="auto"/>
            <w:noWrap/>
            <w:vAlign w:val="bottom"/>
          </w:tcPr>
          <w:p w:rsidR="003A2996" w:rsidRPr="00317CE4" w:rsidRDefault="003A2996" w:rsidP="003A2996">
            <w:pPr>
              <w:jc w:val="center"/>
              <w:rPr>
                <w:rFonts w:ascii="Arial" w:hAnsi="Arial" w:cs="Arial"/>
                <w:i/>
                <w:iCs/>
                <w:sz w:val="20"/>
                <w:szCs w:val="20"/>
              </w:rPr>
            </w:pPr>
            <w:r w:rsidRPr="00317CE4">
              <w:rPr>
                <w:rFonts w:ascii="Arial" w:hAnsi="Arial" w:cs="Arial"/>
                <w:i/>
                <w:iCs/>
                <w:sz w:val="20"/>
                <w:szCs w:val="20"/>
              </w:rPr>
              <w:t> </w:t>
            </w:r>
            <w:r w:rsidR="007E1B12">
              <w:rPr>
                <w:rFonts w:ascii="Arial" w:hAnsi="Arial" w:cs="Arial"/>
                <w:i/>
                <w:iCs/>
                <w:sz w:val="20"/>
                <w:szCs w:val="20"/>
              </w:rPr>
              <w:t>17 June 2015</w:t>
            </w:r>
          </w:p>
        </w:tc>
        <w:tc>
          <w:tcPr>
            <w:tcW w:w="272" w:type="dxa"/>
            <w:tcBorders>
              <w:top w:val="nil"/>
              <w:left w:val="nil"/>
              <w:bottom w:val="nil"/>
              <w:right w:val="single" w:sz="8" w:space="0" w:color="auto"/>
            </w:tcBorders>
            <w:shd w:val="clear" w:color="auto" w:fill="auto"/>
            <w:noWrap/>
            <w:vAlign w:val="bottom"/>
          </w:tcPr>
          <w:p w:rsidR="003A2996" w:rsidRPr="00317CE4" w:rsidRDefault="003A2996" w:rsidP="003A2996">
            <w:pPr>
              <w:rPr>
                <w:rFonts w:ascii="Arial" w:hAnsi="Arial" w:cs="Arial"/>
                <w:sz w:val="20"/>
                <w:szCs w:val="20"/>
              </w:rPr>
            </w:pPr>
            <w:r w:rsidRPr="00317CE4">
              <w:rPr>
                <w:rFonts w:ascii="Arial" w:hAnsi="Arial" w:cs="Arial"/>
                <w:sz w:val="20"/>
                <w:szCs w:val="20"/>
              </w:rPr>
              <w:t> </w:t>
            </w:r>
          </w:p>
        </w:tc>
        <w:tc>
          <w:tcPr>
            <w:tcW w:w="3780" w:type="dxa"/>
            <w:tcBorders>
              <w:top w:val="nil"/>
              <w:left w:val="nil"/>
              <w:bottom w:val="single" w:sz="8" w:space="0" w:color="auto"/>
              <w:right w:val="single" w:sz="12" w:space="0" w:color="auto"/>
            </w:tcBorders>
            <w:shd w:val="clear" w:color="auto" w:fill="auto"/>
            <w:noWrap/>
            <w:vAlign w:val="bottom"/>
          </w:tcPr>
          <w:p w:rsidR="003A2996" w:rsidRPr="00317CE4" w:rsidRDefault="003A2996" w:rsidP="003A2996">
            <w:pPr>
              <w:rPr>
                <w:rFonts w:ascii="Arial" w:hAnsi="Arial" w:cs="Arial"/>
                <w:sz w:val="20"/>
                <w:szCs w:val="20"/>
              </w:rPr>
            </w:pPr>
            <w:r w:rsidRPr="00317CE4">
              <w:rPr>
                <w:rFonts w:ascii="Arial" w:hAnsi="Arial" w:cs="Arial"/>
                <w:sz w:val="20"/>
                <w:szCs w:val="20"/>
              </w:rPr>
              <w:t>Stage of assessment</w:t>
            </w:r>
          </w:p>
        </w:tc>
        <w:tc>
          <w:tcPr>
            <w:tcW w:w="1611" w:type="dxa"/>
            <w:tcBorders>
              <w:top w:val="nil"/>
              <w:left w:val="nil"/>
              <w:bottom w:val="single" w:sz="12" w:space="0" w:color="auto"/>
              <w:right w:val="single" w:sz="12" w:space="0" w:color="auto"/>
            </w:tcBorders>
            <w:shd w:val="clear" w:color="auto" w:fill="auto"/>
            <w:noWrap/>
            <w:vAlign w:val="bottom"/>
          </w:tcPr>
          <w:p w:rsidR="003A2996" w:rsidRPr="00317CE4" w:rsidRDefault="003A2996" w:rsidP="003A2996">
            <w:pPr>
              <w:jc w:val="center"/>
              <w:rPr>
                <w:rFonts w:ascii="Arial" w:hAnsi="Arial" w:cs="Arial"/>
                <w:i/>
                <w:iCs/>
                <w:sz w:val="20"/>
                <w:szCs w:val="20"/>
              </w:rPr>
            </w:pPr>
            <w:r w:rsidRPr="000F68B3">
              <w:rPr>
                <w:rFonts w:ascii="Arial" w:hAnsi="Arial" w:cs="Arial"/>
                <w:i/>
                <w:iCs/>
                <w:sz w:val="20"/>
                <w:szCs w:val="20"/>
              </w:rPr>
              <w:t>(Discussion)</w:t>
            </w:r>
          </w:p>
        </w:tc>
      </w:tr>
      <w:tr w:rsidR="003A2996" w:rsidRPr="00317CE4" w:rsidTr="00933424">
        <w:trPr>
          <w:cantSplit/>
          <w:trHeight w:val="370"/>
        </w:trPr>
        <w:tc>
          <w:tcPr>
            <w:tcW w:w="4359" w:type="dxa"/>
            <w:tcBorders>
              <w:top w:val="nil"/>
              <w:left w:val="nil"/>
              <w:bottom w:val="single" w:sz="8" w:space="0" w:color="auto"/>
              <w:right w:val="single" w:sz="12" w:space="0" w:color="auto"/>
            </w:tcBorders>
            <w:shd w:val="clear" w:color="auto" w:fill="auto"/>
            <w:noWrap/>
            <w:vAlign w:val="bottom"/>
          </w:tcPr>
          <w:p w:rsidR="003A2996" w:rsidRPr="00317CE4" w:rsidRDefault="003A2996" w:rsidP="003A2996">
            <w:pPr>
              <w:rPr>
                <w:rFonts w:ascii="Arial" w:hAnsi="Arial" w:cs="Arial"/>
                <w:sz w:val="20"/>
                <w:szCs w:val="20"/>
              </w:rPr>
            </w:pPr>
            <w:r w:rsidRPr="00317CE4">
              <w:rPr>
                <w:rFonts w:ascii="Arial" w:hAnsi="Arial" w:cs="Arial"/>
                <w:sz w:val="20"/>
                <w:szCs w:val="20"/>
              </w:rPr>
              <w:t>Net Cost to Business</w:t>
            </w:r>
            <w:r w:rsidR="00725176" w:rsidRPr="00317CE4">
              <w:rPr>
                <w:rFonts w:ascii="Arial" w:hAnsi="Arial" w:cs="Arial"/>
                <w:sz w:val="20"/>
                <w:szCs w:val="20"/>
              </w:rPr>
              <w:t xml:space="preserve"> (EANCB)</w:t>
            </w:r>
            <w:r w:rsidRPr="00317CE4">
              <w:rPr>
                <w:rFonts w:ascii="Arial" w:hAnsi="Arial" w:cs="Arial"/>
                <w:sz w:val="20"/>
                <w:szCs w:val="20"/>
              </w:rPr>
              <w:t>:</w:t>
            </w:r>
          </w:p>
        </w:tc>
        <w:tc>
          <w:tcPr>
            <w:tcW w:w="1149" w:type="dxa"/>
            <w:tcBorders>
              <w:top w:val="nil"/>
              <w:left w:val="nil"/>
              <w:bottom w:val="single" w:sz="12" w:space="0" w:color="auto"/>
              <w:right w:val="single" w:sz="12" w:space="0" w:color="auto"/>
            </w:tcBorders>
            <w:shd w:val="clear" w:color="auto" w:fill="auto"/>
            <w:noWrap/>
            <w:vAlign w:val="bottom"/>
          </w:tcPr>
          <w:p w:rsidR="003A2996" w:rsidRPr="00317CE4" w:rsidRDefault="003A2996" w:rsidP="003A2996">
            <w:pPr>
              <w:jc w:val="center"/>
              <w:rPr>
                <w:rFonts w:ascii="Arial" w:hAnsi="Arial" w:cs="Arial"/>
                <w:i/>
                <w:iCs/>
                <w:sz w:val="20"/>
                <w:szCs w:val="20"/>
              </w:rPr>
            </w:pPr>
            <w:r w:rsidRPr="00317CE4">
              <w:rPr>
                <w:rFonts w:ascii="Arial" w:hAnsi="Arial" w:cs="Arial"/>
                <w:i/>
                <w:iCs/>
                <w:sz w:val="20"/>
                <w:szCs w:val="20"/>
              </w:rPr>
              <w:t>(Financial impact)</w:t>
            </w:r>
          </w:p>
        </w:tc>
        <w:tc>
          <w:tcPr>
            <w:tcW w:w="272" w:type="dxa"/>
            <w:tcBorders>
              <w:top w:val="nil"/>
              <w:left w:val="nil"/>
              <w:bottom w:val="nil"/>
              <w:right w:val="single" w:sz="8" w:space="0" w:color="auto"/>
            </w:tcBorders>
            <w:shd w:val="clear" w:color="auto" w:fill="auto"/>
            <w:noWrap/>
            <w:vAlign w:val="bottom"/>
          </w:tcPr>
          <w:p w:rsidR="003A2996" w:rsidRPr="00317CE4" w:rsidRDefault="003A2996" w:rsidP="003A2996">
            <w:pPr>
              <w:rPr>
                <w:rFonts w:ascii="Arial" w:hAnsi="Arial" w:cs="Arial"/>
                <w:sz w:val="20"/>
                <w:szCs w:val="20"/>
              </w:rPr>
            </w:pPr>
            <w:r w:rsidRPr="00317CE4">
              <w:rPr>
                <w:rFonts w:ascii="Arial" w:hAnsi="Arial" w:cs="Arial"/>
                <w:sz w:val="20"/>
                <w:szCs w:val="20"/>
              </w:rPr>
              <w:t> </w:t>
            </w:r>
          </w:p>
        </w:tc>
        <w:tc>
          <w:tcPr>
            <w:tcW w:w="3780" w:type="dxa"/>
            <w:tcBorders>
              <w:top w:val="nil"/>
              <w:left w:val="nil"/>
              <w:bottom w:val="single" w:sz="8" w:space="0" w:color="auto"/>
              <w:right w:val="single" w:sz="12" w:space="0" w:color="auto"/>
            </w:tcBorders>
            <w:shd w:val="clear" w:color="auto" w:fill="auto"/>
            <w:noWrap/>
            <w:vAlign w:val="bottom"/>
          </w:tcPr>
          <w:p w:rsidR="003A2996" w:rsidRPr="00317CE4" w:rsidRDefault="003A2996" w:rsidP="003A2996">
            <w:pPr>
              <w:rPr>
                <w:rFonts w:ascii="Arial" w:hAnsi="Arial" w:cs="Arial"/>
                <w:sz w:val="20"/>
                <w:szCs w:val="20"/>
              </w:rPr>
            </w:pPr>
            <w:r w:rsidRPr="00317CE4">
              <w:rPr>
                <w:rFonts w:ascii="Arial" w:hAnsi="Arial" w:cs="Arial"/>
                <w:sz w:val="20"/>
                <w:szCs w:val="20"/>
              </w:rPr>
              <w:t>Commencement date</w:t>
            </w:r>
          </w:p>
        </w:tc>
        <w:tc>
          <w:tcPr>
            <w:tcW w:w="1611" w:type="dxa"/>
            <w:tcBorders>
              <w:top w:val="nil"/>
              <w:left w:val="nil"/>
              <w:bottom w:val="single" w:sz="12" w:space="0" w:color="auto"/>
              <w:right w:val="single" w:sz="12" w:space="0" w:color="auto"/>
            </w:tcBorders>
            <w:shd w:val="clear" w:color="auto" w:fill="auto"/>
            <w:noWrap/>
            <w:vAlign w:val="bottom"/>
          </w:tcPr>
          <w:p w:rsidR="003A2996" w:rsidRPr="00317CE4" w:rsidRDefault="003A2996" w:rsidP="003A2996">
            <w:pPr>
              <w:jc w:val="center"/>
              <w:rPr>
                <w:rFonts w:ascii="Arial" w:hAnsi="Arial" w:cs="Arial"/>
                <w:i/>
                <w:iCs/>
                <w:sz w:val="20"/>
                <w:szCs w:val="20"/>
              </w:rPr>
            </w:pPr>
            <w:r w:rsidRPr="00317CE4">
              <w:rPr>
                <w:rFonts w:ascii="Arial" w:hAnsi="Arial" w:cs="Arial"/>
                <w:i/>
                <w:iCs/>
                <w:sz w:val="20"/>
                <w:szCs w:val="20"/>
              </w:rPr>
              <w:t> </w:t>
            </w:r>
          </w:p>
        </w:tc>
      </w:tr>
      <w:tr w:rsidR="003A2996" w:rsidRPr="00317CE4" w:rsidTr="00933424">
        <w:trPr>
          <w:cantSplit/>
          <w:trHeight w:val="370"/>
        </w:trPr>
        <w:tc>
          <w:tcPr>
            <w:tcW w:w="4359" w:type="dxa"/>
            <w:tcBorders>
              <w:top w:val="nil"/>
              <w:left w:val="nil"/>
              <w:bottom w:val="single" w:sz="8" w:space="0" w:color="auto"/>
              <w:right w:val="single" w:sz="12" w:space="0" w:color="auto"/>
            </w:tcBorders>
            <w:shd w:val="clear" w:color="auto" w:fill="auto"/>
            <w:noWrap/>
            <w:vAlign w:val="bottom"/>
          </w:tcPr>
          <w:p w:rsidR="003A2996" w:rsidRPr="00317CE4" w:rsidRDefault="003A2996" w:rsidP="003A2996">
            <w:pPr>
              <w:rPr>
                <w:rFonts w:ascii="Arial" w:hAnsi="Arial" w:cs="Arial"/>
                <w:sz w:val="20"/>
                <w:szCs w:val="20"/>
              </w:rPr>
            </w:pPr>
            <w:r w:rsidRPr="00317CE4">
              <w:rPr>
                <w:rFonts w:ascii="Arial" w:hAnsi="Arial" w:cs="Arial"/>
                <w:sz w:val="20"/>
                <w:szCs w:val="20"/>
              </w:rPr>
              <w:t>Which area of the UK will be affected by the change(s)?</w:t>
            </w:r>
          </w:p>
        </w:tc>
        <w:tc>
          <w:tcPr>
            <w:tcW w:w="1149" w:type="dxa"/>
            <w:tcBorders>
              <w:top w:val="nil"/>
              <w:left w:val="nil"/>
              <w:bottom w:val="single" w:sz="12" w:space="0" w:color="auto"/>
              <w:right w:val="single" w:sz="12" w:space="0" w:color="auto"/>
            </w:tcBorders>
            <w:shd w:val="clear" w:color="auto" w:fill="auto"/>
            <w:noWrap/>
            <w:vAlign w:val="bottom"/>
          </w:tcPr>
          <w:p w:rsidR="003A2996" w:rsidRPr="00317CE4" w:rsidRDefault="007E1B12" w:rsidP="003A2996">
            <w:pPr>
              <w:jc w:val="center"/>
              <w:rPr>
                <w:rFonts w:ascii="Arial" w:hAnsi="Arial" w:cs="Arial"/>
                <w:i/>
                <w:iCs/>
                <w:sz w:val="20"/>
                <w:szCs w:val="20"/>
              </w:rPr>
            </w:pPr>
            <w:r>
              <w:rPr>
                <w:rFonts w:ascii="Arial" w:hAnsi="Arial" w:cs="Arial"/>
                <w:i/>
                <w:iCs/>
                <w:sz w:val="20"/>
                <w:szCs w:val="20"/>
              </w:rPr>
              <w:t>All</w:t>
            </w:r>
            <w:r w:rsidR="003A2996" w:rsidRPr="00317CE4">
              <w:rPr>
                <w:rFonts w:ascii="Arial" w:hAnsi="Arial" w:cs="Arial"/>
                <w:i/>
                <w:iCs/>
                <w:sz w:val="20"/>
                <w:szCs w:val="20"/>
              </w:rPr>
              <w:t> </w:t>
            </w:r>
          </w:p>
        </w:tc>
        <w:tc>
          <w:tcPr>
            <w:tcW w:w="272" w:type="dxa"/>
            <w:tcBorders>
              <w:top w:val="nil"/>
              <w:left w:val="nil"/>
              <w:bottom w:val="nil"/>
              <w:right w:val="single" w:sz="8" w:space="0" w:color="auto"/>
            </w:tcBorders>
            <w:shd w:val="clear" w:color="auto" w:fill="auto"/>
            <w:noWrap/>
            <w:vAlign w:val="bottom"/>
          </w:tcPr>
          <w:p w:rsidR="003A2996" w:rsidRPr="00317CE4" w:rsidRDefault="003A2996" w:rsidP="003A2996">
            <w:pPr>
              <w:rPr>
                <w:rFonts w:ascii="Arial" w:hAnsi="Arial" w:cs="Arial"/>
                <w:sz w:val="20"/>
                <w:szCs w:val="20"/>
              </w:rPr>
            </w:pPr>
            <w:r w:rsidRPr="00317CE4">
              <w:rPr>
                <w:rFonts w:ascii="Arial" w:hAnsi="Arial" w:cs="Arial"/>
                <w:sz w:val="20"/>
                <w:szCs w:val="20"/>
              </w:rPr>
              <w:t> </w:t>
            </w:r>
          </w:p>
        </w:tc>
        <w:tc>
          <w:tcPr>
            <w:tcW w:w="3780" w:type="dxa"/>
            <w:tcBorders>
              <w:top w:val="nil"/>
              <w:left w:val="nil"/>
              <w:bottom w:val="single" w:sz="8" w:space="0" w:color="auto"/>
              <w:right w:val="single" w:sz="12" w:space="0" w:color="auto"/>
            </w:tcBorders>
            <w:shd w:val="clear" w:color="auto" w:fill="auto"/>
            <w:noWrap/>
            <w:vAlign w:val="bottom"/>
          </w:tcPr>
          <w:p w:rsidR="003A2996" w:rsidRPr="00317CE4" w:rsidRDefault="003A2996" w:rsidP="003A2996">
            <w:pPr>
              <w:rPr>
                <w:rFonts w:ascii="Arial" w:hAnsi="Arial" w:cs="Arial"/>
                <w:sz w:val="20"/>
                <w:szCs w:val="20"/>
              </w:rPr>
            </w:pPr>
            <w:r w:rsidRPr="00317CE4">
              <w:rPr>
                <w:rFonts w:ascii="Arial" w:hAnsi="Arial" w:cs="Arial"/>
                <w:sz w:val="20"/>
                <w:szCs w:val="20"/>
              </w:rPr>
              <w:t>Price and Present value base years</w:t>
            </w:r>
          </w:p>
        </w:tc>
        <w:tc>
          <w:tcPr>
            <w:tcW w:w="1611" w:type="dxa"/>
            <w:tcBorders>
              <w:top w:val="nil"/>
              <w:left w:val="nil"/>
              <w:bottom w:val="nil"/>
              <w:right w:val="single" w:sz="12" w:space="0" w:color="auto"/>
            </w:tcBorders>
            <w:shd w:val="clear" w:color="auto" w:fill="auto"/>
            <w:noWrap/>
            <w:vAlign w:val="bottom"/>
          </w:tcPr>
          <w:p w:rsidR="003A2996" w:rsidRPr="00317CE4" w:rsidRDefault="003A2996" w:rsidP="003A2996">
            <w:pPr>
              <w:jc w:val="center"/>
              <w:rPr>
                <w:rFonts w:ascii="Arial" w:hAnsi="Arial" w:cs="Arial"/>
                <w:i/>
                <w:iCs/>
                <w:sz w:val="20"/>
                <w:szCs w:val="20"/>
              </w:rPr>
            </w:pPr>
            <w:r w:rsidRPr="00317CE4">
              <w:rPr>
                <w:rFonts w:ascii="Arial" w:hAnsi="Arial" w:cs="Arial"/>
                <w:i/>
                <w:iCs/>
                <w:sz w:val="20"/>
                <w:szCs w:val="20"/>
              </w:rPr>
              <w:t>(Price/Present Value)</w:t>
            </w:r>
          </w:p>
        </w:tc>
      </w:tr>
      <w:tr w:rsidR="003A2996" w:rsidRPr="00317CE4" w:rsidTr="00933424">
        <w:trPr>
          <w:cantSplit/>
          <w:trHeight w:val="388"/>
        </w:trPr>
        <w:tc>
          <w:tcPr>
            <w:tcW w:w="4359" w:type="dxa"/>
            <w:tcBorders>
              <w:top w:val="nil"/>
              <w:left w:val="nil"/>
              <w:bottom w:val="single" w:sz="8" w:space="0" w:color="auto"/>
              <w:right w:val="single" w:sz="12" w:space="0" w:color="auto"/>
            </w:tcBorders>
            <w:shd w:val="clear" w:color="auto" w:fill="auto"/>
            <w:noWrap/>
            <w:vAlign w:val="bottom"/>
          </w:tcPr>
          <w:p w:rsidR="003A2996" w:rsidRPr="00317CE4" w:rsidRDefault="003A2996" w:rsidP="003A2996">
            <w:pPr>
              <w:rPr>
                <w:rFonts w:ascii="Arial" w:hAnsi="Arial" w:cs="Arial"/>
                <w:sz w:val="20"/>
                <w:szCs w:val="20"/>
              </w:rPr>
            </w:pPr>
            <w:r w:rsidRPr="00317CE4">
              <w:rPr>
                <w:rFonts w:ascii="Arial" w:hAnsi="Arial" w:cs="Arial"/>
                <w:sz w:val="20"/>
                <w:szCs w:val="20"/>
              </w:rPr>
              <w:t>Does this include implementation of Red Tape Challenge commitments?</w:t>
            </w:r>
          </w:p>
        </w:tc>
        <w:tc>
          <w:tcPr>
            <w:tcW w:w="1149" w:type="dxa"/>
            <w:tcBorders>
              <w:top w:val="nil"/>
              <w:left w:val="nil"/>
              <w:bottom w:val="single" w:sz="12" w:space="0" w:color="auto"/>
              <w:right w:val="single" w:sz="12" w:space="0" w:color="auto"/>
            </w:tcBorders>
            <w:shd w:val="clear" w:color="auto" w:fill="auto"/>
            <w:noWrap/>
            <w:vAlign w:val="bottom"/>
          </w:tcPr>
          <w:p w:rsidR="003A2996" w:rsidRPr="00317CE4" w:rsidRDefault="007E1B12" w:rsidP="003A2996">
            <w:pPr>
              <w:jc w:val="center"/>
              <w:rPr>
                <w:rFonts w:ascii="Arial" w:hAnsi="Arial" w:cs="Arial"/>
                <w:i/>
                <w:iCs/>
                <w:sz w:val="20"/>
                <w:szCs w:val="20"/>
              </w:rPr>
            </w:pPr>
            <w:r>
              <w:rPr>
                <w:rFonts w:ascii="Arial" w:hAnsi="Arial" w:cs="Arial"/>
                <w:i/>
                <w:iCs/>
                <w:sz w:val="20"/>
                <w:szCs w:val="20"/>
              </w:rPr>
              <w:t>N</w:t>
            </w:r>
            <w:r w:rsidR="003A2996" w:rsidRPr="00317CE4">
              <w:rPr>
                <w:rFonts w:ascii="Arial" w:hAnsi="Arial" w:cs="Arial"/>
                <w:i/>
                <w:iCs/>
                <w:sz w:val="20"/>
                <w:szCs w:val="20"/>
              </w:rPr>
              <w:t>o</w:t>
            </w:r>
          </w:p>
        </w:tc>
        <w:tc>
          <w:tcPr>
            <w:tcW w:w="272" w:type="dxa"/>
            <w:tcBorders>
              <w:top w:val="nil"/>
              <w:left w:val="nil"/>
              <w:bottom w:val="nil"/>
              <w:right w:val="single" w:sz="8" w:space="0" w:color="auto"/>
            </w:tcBorders>
            <w:shd w:val="clear" w:color="auto" w:fill="auto"/>
            <w:noWrap/>
            <w:vAlign w:val="bottom"/>
          </w:tcPr>
          <w:p w:rsidR="003A2996" w:rsidRPr="00317CE4" w:rsidRDefault="003A2996" w:rsidP="003A2996">
            <w:pPr>
              <w:rPr>
                <w:rFonts w:ascii="Arial" w:hAnsi="Arial" w:cs="Arial"/>
                <w:sz w:val="20"/>
                <w:szCs w:val="20"/>
              </w:rPr>
            </w:pPr>
            <w:r w:rsidRPr="00317CE4">
              <w:rPr>
                <w:rFonts w:ascii="Arial" w:hAnsi="Arial" w:cs="Arial"/>
                <w:sz w:val="20"/>
                <w:szCs w:val="20"/>
              </w:rPr>
              <w:t> </w:t>
            </w:r>
          </w:p>
        </w:tc>
        <w:tc>
          <w:tcPr>
            <w:tcW w:w="3780" w:type="dxa"/>
            <w:tcBorders>
              <w:top w:val="nil"/>
              <w:left w:val="nil"/>
              <w:bottom w:val="single" w:sz="8" w:space="0" w:color="auto"/>
              <w:right w:val="nil"/>
            </w:tcBorders>
            <w:shd w:val="clear" w:color="auto" w:fill="auto"/>
            <w:noWrap/>
            <w:vAlign w:val="bottom"/>
          </w:tcPr>
          <w:p w:rsidR="003A2996" w:rsidRPr="00317CE4" w:rsidRDefault="003A2996" w:rsidP="003A2996">
            <w:pPr>
              <w:rPr>
                <w:rFonts w:ascii="Arial" w:hAnsi="Arial" w:cs="Arial"/>
                <w:sz w:val="20"/>
                <w:szCs w:val="20"/>
              </w:rPr>
            </w:pPr>
            <w:r w:rsidRPr="00317CE4">
              <w:rPr>
                <w:rFonts w:ascii="Arial" w:hAnsi="Arial" w:cs="Arial"/>
                <w:sz w:val="20"/>
                <w:szCs w:val="20"/>
              </w:rPr>
              <w:t>Is this directly applicable EU or other international legislation?</w:t>
            </w:r>
          </w:p>
        </w:tc>
        <w:tc>
          <w:tcPr>
            <w:tcW w:w="1611"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3A2996" w:rsidRPr="00317CE4" w:rsidRDefault="003A2996" w:rsidP="003A2996">
            <w:pPr>
              <w:jc w:val="center"/>
              <w:rPr>
                <w:rFonts w:ascii="Arial" w:hAnsi="Arial" w:cs="Arial"/>
                <w:i/>
                <w:iCs/>
                <w:sz w:val="20"/>
                <w:szCs w:val="20"/>
              </w:rPr>
            </w:pPr>
            <w:r w:rsidRPr="00214A31">
              <w:rPr>
                <w:rFonts w:ascii="Arial" w:hAnsi="Arial" w:cs="Arial"/>
                <w:i/>
                <w:iCs/>
                <w:sz w:val="20"/>
                <w:szCs w:val="20"/>
                <w:highlight w:val="yellow"/>
              </w:rPr>
              <w:t>No</w:t>
            </w:r>
            <w:r w:rsidRPr="00317CE4">
              <w:rPr>
                <w:rFonts w:ascii="Arial" w:hAnsi="Arial" w:cs="Arial"/>
                <w:i/>
                <w:iCs/>
                <w:sz w:val="20"/>
                <w:szCs w:val="20"/>
              </w:rPr>
              <w:t>/EU/other international</w:t>
            </w:r>
          </w:p>
        </w:tc>
      </w:tr>
      <w:tr w:rsidR="003A2996" w:rsidRPr="00317CE4" w:rsidTr="00933424">
        <w:trPr>
          <w:cantSplit/>
          <w:trHeight w:val="370"/>
        </w:trPr>
        <w:tc>
          <w:tcPr>
            <w:tcW w:w="4359" w:type="dxa"/>
            <w:tcBorders>
              <w:top w:val="nil"/>
              <w:left w:val="nil"/>
              <w:bottom w:val="nil"/>
              <w:right w:val="nil"/>
            </w:tcBorders>
            <w:shd w:val="clear" w:color="auto" w:fill="auto"/>
            <w:noWrap/>
          </w:tcPr>
          <w:p w:rsidR="003A2996" w:rsidRPr="00317CE4" w:rsidRDefault="003A2996" w:rsidP="003A2996">
            <w:pPr>
              <w:rPr>
                <w:rFonts w:ascii="Arial" w:hAnsi="Arial" w:cs="Arial"/>
                <w:sz w:val="22"/>
                <w:szCs w:val="22"/>
              </w:rPr>
            </w:pPr>
          </w:p>
        </w:tc>
        <w:tc>
          <w:tcPr>
            <w:tcW w:w="1149" w:type="dxa"/>
            <w:tcBorders>
              <w:top w:val="nil"/>
              <w:left w:val="nil"/>
              <w:bottom w:val="nil"/>
              <w:right w:val="nil"/>
            </w:tcBorders>
            <w:shd w:val="clear" w:color="auto" w:fill="auto"/>
            <w:noWrap/>
          </w:tcPr>
          <w:p w:rsidR="003A2996" w:rsidRPr="00317CE4" w:rsidRDefault="003A2996" w:rsidP="003A2996">
            <w:pPr>
              <w:jc w:val="center"/>
              <w:rPr>
                <w:rFonts w:ascii="Arial" w:hAnsi="Arial" w:cs="Arial"/>
                <w:i/>
                <w:iCs/>
              </w:rPr>
            </w:pPr>
          </w:p>
        </w:tc>
        <w:tc>
          <w:tcPr>
            <w:tcW w:w="272" w:type="dxa"/>
            <w:tcBorders>
              <w:top w:val="nil"/>
              <w:left w:val="nil"/>
              <w:bottom w:val="nil"/>
              <w:right w:val="nil"/>
            </w:tcBorders>
            <w:shd w:val="clear" w:color="auto" w:fill="auto"/>
            <w:noWrap/>
          </w:tcPr>
          <w:p w:rsidR="003A2996" w:rsidRPr="00317CE4" w:rsidRDefault="003A2996" w:rsidP="003A2996">
            <w:pPr>
              <w:rPr>
                <w:rFonts w:ascii="Arial" w:hAnsi="Arial" w:cs="Arial"/>
              </w:rPr>
            </w:pPr>
          </w:p>
        </w:tc>
        <w:tc>
          <w:tcPr>
            <w:tcW w:w="3780" w:type="dxa"/>
            <w:tcBorders>
              <w:top w:val="nil"/>
              <w:left w:val="nil"/>
              <w:bottom w:val="nil"/>
              <w:right w:val="nil"/>
            </w:tcBorders>
            <w:shd w:val="clear" w:color="auto" w:fill="auto"/>
            <w:noWrap/>
          </w:tcPr>
          <w:p w:rsidR="003A2996" w:rsidRPr="00317CE4" w:rsidRDefault="003A2996" w:rsidP="003A2996">
            <w:pPr>
              <w:rPr>
                <w:rFonts w:ascii="Arial" w:hAnsi="Arial" w:cs="Arial"/>
              </w:rPr>
            </w:pPr>
          </w:p>
        </w:tc>
        <w:tc>
          <w:tcPr>
            <w:tcW w:w="1611" w:type="dxa"/>
            <w:tcBorders>
              <w:top w:val="nil"/>
              <w:left w:val="nil"/>
              <w:bottom w:val="nil"/>
              <w:right w:val="nil"/>
            </w:tcBorders>
            <w:shd w:val="clear" w:color="auto" w:fill="auto"/>
            <w:noWrap/>
          </w:tcPr>
          <w:p w:rsidR="003A2996" w:rsidRPr="00317CE4" w:rsidRDefault="003A2996" w:rsidP="003A2996">
            <w:pPr>
              <w:rPr>
                <w:rFonts w:ascii="Arial" w:hAnsi="Arial" w:cs="Arial"/>
              </w:rPr>
            </w:pPr>
          </w:p>
        </w:tc>
      </w:tr>
    </w:tbl>
    <w:p w:rsidR="00221237" w:rsidRDefault="00221237">
      <w:pPr>
        <w:rPr>
          <w:rFonts w:ascii="Arial" w:hAnsi="Arial" w:cs="Arial"/>
        </w:rPr>
      </w:pPr>
    </w:p>
    <w:p w:rsidR="00933424" w:rsidRPr="00933424" w:rsidRDefault="00933424" w:rsidP="00933424">
      <w:pPr>
        <w:rPr>
          <w:rFonts w:ascii="Arial" w:hAnsi="Arial" w:cs="Arial"/>
          <w:b/>
        </w:rPr>
      </w:pPr>
      <w:r w:rsidRPr="00933424">
        <w:rPr>
          <w:rFonts w:ascii="Arial" w:hAnsi="Arial" w:cs="Arial"/>
          <w:b/>
        </w:rPr>
        <w:t>Problem under consideration</w:t>
      </w:r>
    </w:p>
    <w:p w:rsidR="00933424" w:rsidRPr="00933424" w:rsidRDefault="00933424" w:rsidP="00933424">
      <w:pPr>
        <w:rPr>
          <w:rFonts w:ascii="Arial" w:hAnsi="Arial" w:cs="Arial"/>
        </w:rPr>
      </w:pPr>
    </w:p>
    <w:p w:rsidR="000528FF" w:rsidRDefault="000528FF" w:rsidP="000528FF">
      <w:pPr>
        <w:numPr>
          <w:ilvl w:val="0"/>
          <w:numId w:val="6"/>
        </w:numPr>
        <w:ind w:left="360"/>
        <w:rPr>
          <w:rFonts w:ascii="Arial" w:hAnsi="Arial" w:cs="Arial"/>
        </w:rPr>
      </w:pPr>
      <w:r w:rsidRPr="000528FF">
        <w:rPr>
          <w:rFonts w:ascii="Arial" w:hAnsi="Arial" w:cs="Arial"/>
        </w:rPr>
        <w:t xml:space="preserve">HSE currently has two publications which provide guidance on compliance with duties under health and safety law (in particular under the Control of Substances Hazardous to Health Regulations 2002) as they relate to </w:t>
      </w:r>
      <w:r>
        <w:rPr>
          <w:rFonts w:ascii="Arial" w:hAnsi="Arial" w:cs="Arial"/>
        </w:rPr>
        <w:t>managing t</w:t>
      </w:r>
      <w:r w:rsidRPr="000528FF">
        <w:rPr>
          <w:rFonts w:ascii="Arial" w:hAnsi="Arial" w:cs="Arial"/>
        </w:rPr>
        <w:t>he risks of infection</w:t>
      </w:r>
      <w:r>
        <w:rPr>
          <w:rFonts w:ascii="Arial" w:hAnsi="Arial" w:cs="Arial"/>
        </w:rPr>
        <w:t xml:space="preserve"> from the deceased</w:t>
      </w:r>
      <w:r w:rsidRPr="000528FF">
        <w:rPr>
          <w:rFonts w:ascii="Arial" w:hAnsi="Arial" w:cs="Arial"/>
        </w:rPr>
        <w:t xml:space="preserve">. </w:t>
      </w:r>
      <w:r>
        <w:rPr>
          <w:rFonts w:ascii="Arial" w:hAnsi="Arial" w:cs="Arial"/>
        </w:rPr>
        <w:t xml:space="preserve"> These are </w:t>
      </w:r>
      <w:hyperlink r:id="rId9" w:history="1">
        <w:r w:rsidRPr="000528FF">
          <w:rPr>
            <w:rStyle w:val="Hyperlink"/>
            <w:rFonts w:ascii="Arial" w:hAnsi="Arial" w:cs="Arial"/>
          </w:rPr>
          <w:t>Controlling the risks of infection at work from human remains</w:t>
        </w:r>
      </w:hyperlink>
      <w:r>
        <w:rPr>
          <w:rFonts w:ascii="Arial" w:hAnsi="Arial" w:cs="Arial"/>
        </w:rPr>
        <w:t xml:space="preserve"> (human remains guidance) and </w:t>
      </w:r>
      <w:hyperlink r:id="rId10" w:history="1">
        <w:r w:rsidRPr="000528FF">
          <w:rPr>
            <w:rStyle w:val="Hyperlink"/>
            <w:rFonts w:ascii="Arial" w:hAnsi="Arial" w:cs="Arial"/>
          </w:rPr>
          <w:t>Safe working and the prevention of infection in the mortuary and post mortem room</w:t>
        </w:r>
      </w:hyperlink>
      <w:r>
        <w:rPr>
          <w:rFonts w:ascii="Arial" w:hAnsi="Arial" w:cs="Arial"/>
        </w:rPr>
        <w:t xml:space="preserve"> (mortuary and post mortem guidance). </w:t>
      </w:r>
      <w:r w:rsidRPr="000528FF">
        <w:rPr>
          <w:rFonts w:ascii="Arial" w:hAnsi="Arial" w:cs="Arial"/>
        </w:rPr>
        <w:t xml:space="preserve"> </w:t>
      </w:r>
      <w:r>
        <w:rPr>
          <w:rFonts w:ascii="Arial" w:hAnsi="Arial" w:cs="Arial"/>
        </w:rPr>
        <w:t>While the two documents are aimed at different audiences (</w:t>
      </w:r>
      <w:proofErr w:type="spellStart"/>
      <w:r>
        <w:rPr>
          <w:rFonts w:ascii="Arial" w:hAnsi="Arial" w:cs="Arial"/>
        </w:rPr>
        <w:t>ie</w:t>
      </w:r>
      <w:proofErr w:type="spellEnd"/>
      <w:r>
        <w:rPr>
          <w:rFonts w:ascii="Arial" w:hAnsi="Arial" w:cs="Arial"/>
        </w:rPr>
        <w:t xml:space="preserve"> the funeral industry; and healthcare post mortem facilities), several of the processes the industries undertake and the risks they are exposed to are similar and overlap</w:t>
      </w:r>
      <w:r w:rsidR="00933424" w:rsidRPr="000528FF">
        <w:rPr>
          <w:rFonts w:ascii="Arial" w:hAnsi="Arial" w:cs="Arial"/>
        </w:rPr>
        <w:t>.</w:t>
      </w:r>
      <w:r>
        <w:rPr>
          <w:rFonts w:ascii="Arial" w:hAnsi="Arial" w:cs="Arial"/>
        </w:rPr>
        <w:t xml:space="preserve">  To ensure both guidance documents provide consistency of message and terminology, and address any gaps in these contiguous processes, it is sensible and proportionate to combine the two documents. </w:t>
      </w:r>
      <w:r w:rsidR="00933424" w:rsidRPr="000528FF">
        <w:rPr>
          <w:rFonts w:ascii="Arial" w:hAnsi="Arial" w:cs="Arial"/>
        </w:rPr>
        <w:t xml:space="preserve">  </w:t>
      </w:r>
    </w:p>
    <w:p w:rsidR="00933424" w:rsidRPr="00933424" w:rsidRDefault="00933424" w:rsidP="00413D78">
      <w:pPr>
        <w:rPr>
          <w:rFonts w:ascii="Arial" w:hAnsi="Arial" w:cs="Arial"/>
        </w:rPr>
      </w:pPr>
    </w:p>
    <w:p w:rsidR="00933424" w:rsidRPr="00933424" w:rsidRDefault="00933424" w:rsidP="00413D78">
      <w:pPr>
        <w:numPr>
          <w:ilvl w:val="0"/>
          <w:numId w:val="6"/>
        </w:numPr>
        <w:ind w:left="360"/>
        <w:rPr>
          <w:rFonts w:ascii="Arial" w:hAnsi="Arial" w:cs="Arial"/>
        </w:rPr>
      </w:pPr>
      <w:r w:rsidRPr="00933424">
        <w:rPr>
          <w:rFonts w:ascii="Arial" w:hAnsi="Arial" w:cs="Arial"/>
        </w:rPr>
        <w:t xml:space="preserve">The human remains guidance explains the ways in which workers can be exposed to infections when </w:t>
      </w:r>
      <w:r w:rsidR="00455D34">
        <w:rPr>
          <w:rFonts w:ascii="Arial" w:hAnsi="Arial" w:cs="Arial"/>
        </w:rPr>
        <w:t>handling</w:t>
      </w:r>
      <w:r w:rsidRPr="00933424">
        <w:rPr>
          <w:rFonts w:ascii="Arial" w:hAnsi="Arial" w:cs="Arial"/>
        </w:rPr>
        <w:t xml:space="preserve"> the deceased. It goes on to describe the control measures required to prevent transmission of those infections to the worker.  Appendix 1 lists the key infections that workers may be exposed to and indicates certain practices that may or may not be carried out, depending on the infection. This includes the embalming procedure.  The guidance currently recommends that embalming of bodies with certain </w:t>
      </w:r>
      <w:r w:rsidR="00926912">
        <w:rPr>
          <w:rFonts w:ascii="Arial" w:hAnsi="Arial" w:cs="Arial"/>
        </w:rPr>
        <w:t xml:space="preserve">Hazard Group 3 (HG3) </w:t>
      </w:r>
      <w:r w:rsidRPr="00933424">
        <w:rPr>
          <w:rFonts w:ascii="Arial" w:hAnsi="Arial" w:cs="Arial"/>
        </w:rPr>
        <w:t xml:space="preserve">blood-borne viruses </w:t>
      </w:r>
      <w:r w:rsidR="00455D34">
        <w:rPr>
          <w:rFonts w:ascii="Arial" w:hAnsi="Arial" w:cs="Arial"/>
        </w:rPr>
        <w:t xml:space="preserve">(BBVs) </w:t>
      </w:r>
      <w:r w:rsidRPr="00933424">
        <w:rPr>
          <w:rFonts w:ascii="Arial" w:hAnsi="Arial" w:cs="Arial"/>
        </w:rPr>
        <w:t>(</w:t>
      </w:r>
      <w:r w:rsidR="000528FF">
        <w:rPr>
          <w:rFonts w:ascii="Arial" w:hAnsi="Arial" w:cs="Arial"/>
        </w:rPr>
        <w:t xml:space="preserve">e.g. </w:t>
      </w:r>
      <w:r w:rsidRPr="00933424">
        <w:rPr>
          <w:rFonts w:ascii="Arial" w:hAnsi="Arial" w:cs="Arial"/>
        </w:rPr>
        <w:t>Human immunodeficiency virus (HIV), hepatitis B virus (HBV) and hepatitis C virus (HCV)) should not be carried out.</w:t>
      </w:r>
      <w:r w:rsidR="00223D21">
        <w:rPr>
          <w:rFonts w:ascii="Arial" w:hAnsi="Arial" w:cs="Arial"/>
        </w:rPr>
        <w:t xml:space="preserve">  This Business Engagement Assessment focuses on the impact of changing the guidance to provide greater flexibility for embalming to be carried out on the deceased with these certain</w:t>
      </w:r>
      <w:r w:rsidR="00926912">
        <w:rPr>
          <w:rFonts w:ascii="Arial" w:hAnsi="Arial" w:cs="Arial"/>
        </w:rPr>
        <w:t xml:space="preserve"> HG3</w:t>
      </w:r>
      <w:r w:rsidR="00223D21">
        <w:rPr>
          <w:rFonts w:ascii="Arial" w:hAnsi="Arial" w:cs="Arial"/>
        </w:rPr>
        <w:t xml:space="preserve"> BBVs.  </w:t>
      </w:r>
    </w:p>
    <w:p w:rsidR="00933424" w:rsidRPr="00933424" w:rsidRDefault="00933424" w:rsidP="00413D78">
      <w:pPr>
        <w:rPr>
          <w:rFonts w:ascii="Arial" w:hAnsi="Arial" w:cs="Arial"/>
        </w:rPr>
      </w:pPr>
    </w:p>
    <w:p w:rsidR="00892175" w:rsidRPr="00926912" w:rsidRDefault="00926912" w:rsidP="00413D78">
      <w:pPr>
        <w:numPr>
          <w:ilvl w:val="0"/>
          <w:numId w:val="6"/>
        </w:numPr>
        <w:ind w:left="360"/>
        <w:rPr>
          <w:rFonts w:ascii="Arial" w:hAnsi="Arial" w:cs="Arial"/>
        </w:rPr>
      </w:pPr>
      <w:r>
        <w:rPr>
          <w:rFonts w:ascii="Arial" w:hAnsi="Arial" w:cs="Arial"/>
        </w:rPr>
        <w:t>Hazard Group 3 applie</w:t>
      </w:r>
      <w:r w:rsidR="00AC6AE4">
        <w:rPr>
          <w:rFonts w:ascii="Arial" w:hAnsi="Arial" w:cs="Arial"/>
        </w:rPr>
        <w:t>s</w:t>
      </w:r>
      <w:r>
        <w:rPr>
          <w:rFonts w:ascii="Arial" w:hAnsi="Arial" w:cs="Arial"/>
        </w:rPr>
        <w:t xml:space="preserve"> to tho</w:t>
      </w:r>
      <w:r w:rsidR="000528FF" w:rsidRPr="00926912">
        <w:rPr>
          <w:rFonts w:ascii="Arial" w:hAnsi="Arial" w:cs="Arial"/>
        </w:rPr>
        <w:t>se</w:t>
      </w:r>
      <w:r w:rsidR="00933424" w:rsidRPr="00926912">
        <w:rPr>
          <w:rFonts w:ascii="Arial" w:hAnsi="Arial" w:cs="Arial"/>
        </w:rPr>
        <w:t xml:space="preserve"> viruses</w:t>
      </w:r>
      <w:r w:rsidR="000528FF" w:rsidRPr="00926912">
        <w:rPr>
          <w:rFonts w:ascii="Arial" w:hAnsi="Arial" w:cs="Arial"/>
        </w:rPr>
        <w:t xml:space="preserve"> </w:t>
      </w:r>
      <w:r w:rsidR="00933424" w:rsidRPr="00926912">
        <w:rPr>
          <w:rFonts w:ascii="Arial" w:hAnsi="Arial" w:cs="Arial"/>
        </w:rPr>
        <w:t xml:space="preserve">capable of causing serious harm to human health. </w:t>
      </w:r>
      <w:r w:rsidR="00455D34" w:rsidRPr="00926912">
        <w:rPr>
          <w:rFonts w:ascii="Arial" w:hAnsi="Arial" w:cs="Arial"/>
        </w:rPr>
        <w:t>BBVs</w:t>
      </w:r>
      <w:r w:rsidR="00933424" w:rsidRPr="00926912">
        <w:rPr>
          <w:rFonts w:ascii="Arial" w:hAnsi="Arial" w:cs="Arial"/>
        </w:rPr>
        <w:t xml:space="preserve"> are spread from one person to another by contact with contaminated blood and body fluids.  In the </w:t>
      </w:r>
      <w:r w:rsidR="00AC6AE4">
        <w:rPr>
          <w:rFonts w:ascii="Arial" w:hAnsi="Arial" w:cs="Arial"/>
        </w:rPr>
        <w:t>embalming</w:t>
      </w:r>
      <w:r w:rsidR="00AC6AE4" w:rsidRPr="00926912">
        <w:rPr>
          <w:rFonts w:ascii="Arial" w:hAnsi="Arial" w:cs="Arial"/>
        </w:rPr>
        <w:t xml:space="preserve"> </w:t>
      </w:r>
      <w:r w:rsidR="00933424" w:rsidRPr="00926912">
        <w:rPr>
          <w:rFonts w:ascii="Arial" w:hAnsi="Arial" w:cs="Arial"/>
        </w:rPr>
        <w:t xml:space="preserve">industry and post mortem room, exposure is most likely to occur as a result of a needle-stick injury, </w:t>
      </w:r>
      <w:r w:rsidR="00AC6AE4">
        <w:rPr>
          <w:rFonts w:ascii="Arial" w:hAnsi="Arial" w:cs="Arial"/>
        </w:rPr>
        <w:t xml:space="preserve">an </w:t>
      </w:r>
      <w:r w:rsidR="00933424" w:rsidRPr="00926912">
        <w:rPr>
          <w:rFonts w:ascii="Arial" w:hAnsi="Arial" w:cs="Arial"/>
        </w:rPr>
        <w:t xml:space="preserve">injury with other contaminated sharp instruments, or as a result of contamination of the mucous membranes (eyes, nose and mouth) by blood or body fluid splash.  </w:t>
      </w:r>
      <w:r w:rsidR="00892175" w:rsidRPr="00926912">
        <w:rPr>
          <w:rFonts w:ascii="Arial" w:hAnsi="Arial" w:cs="Arial"/>
        </w:rPr>
        <w:t>Post mortem examinations are carrie</w:t>
      </w:r>
      <w:r>
        <w:rPr>
          <w:rFonts w:ascii="Arial" w:hAnsi="Arial" w:cs="Arial"/>
        </w:rPr>
        <w:t>d out on the deceased with HG3</w:t>
      </w:r>
      <w:r w:rsidR="00892175" w:rsidRPr="00926912">
        <w:rPr>
          <w:rFonts w:ascii="Arial" w:hAnsi="Arial" w:cs="Arial"/>
        </w:rPr>
        <w:t xml:space="preserve"> BBVs </w:t>
      </w:r>
      <w:r w:rsidRPr="00926912">
        <w:rPr>
          <w:rFonts w:ascii="Arial" w:hAnsi="Arial" w:cs="Arial"/>
        </w:rPr>
        <w:t xml:space="preserve">present </w:t>
      </w:r>
      <w:r w:rsidR="00892175" w:rsidRPr="00926912">
        <w:rPr>
          <w:rFonts w:ascii="Arial" w:hAnsi="Arial" w:cs="Arial"/>
        </w:rPr>
        <w:t xml:space="preserve">and </w:t>
      </w:r>
      <w:r w:rsidRPr="00926912">
        <w:rPr>
          <w:rFonts w:ascii="Arial" w:hAnsi="Arial" w:cs="Arial"/>
        </w:rPr>
        <w:t>as exposure occurs in the same way</w:t>
      </w:r>
      <w:r w:rsidR="00AC6AE4">
        <w:rPr>
          <w:rFonts w:ascii="Arial" w:hAnsi="Arial" w:cs="Arial"/>
        </w:rPr>
        <w:t xml:space="preserve"> as it would for embalming</w:t>
      </w:r>
      <w:r w:rsidRPr="00926912">
        <w:rPr>
          <w:rFonts w:ascii="Arial" w:hAnsi="Arial" w:cs="Arial"/>
        </w:rPr>
        <w:t xml:space="preserve">, it </w:t>
      </w:r>
      <w:r w:rsidR="00892175" w:rsidRPr="00926912">
        <w:rPr>
          <w:rFonts w:ascii="Arial" w:hAnsi="Arial" w:cs="Arial"/>
        </w:rPr>
        <w:t>is proportionate to ali</w:t>
      </w:r>
      <w:r w:rsidRPr="00926912">
        <w:rPr>
          <w:rFonts w:ascii="Arial" w:hAnsi="Arial" w:cs="Arial"/>
        </w:rPr>
        <w:t xml:space="preserve">gn the two standards.  </w:t>
      </w:r>
      <w:r w:rsidR="00892175" w:rsidRPr="00926912">
        <w:rPr>
          <w:rFonts w:ascii="Arial" w:hAnsi="Arial" w:cs="Arial"/>
        </w:rPr>
        <w:t xml:space="preserve"> </w:t>
      </w:r>
    </w:p>
    <w:p w:rsidR="00933424" w:rsidRPr="00933424" w:rsidRDefault="00933424" w:rsidP="00413D78">
      <w:pPr>
        <w:rPr>
          <w:rFonts w:ascii="Arial" w:hAnsi="Arial" w:cs="Arial"/>
        </w:rPr>
      </w:pPr>
    </w:p>
    <w:p w:rsidR="00933424" w:rsidRPr="00933424" w:rsidRDefault="00933424" w:rsidP="00413D78">
      <w:pPr>
        <w:numPr>
          <w:ilvl w:val="0"/>
          <w:numId w:val="6"/>
        </w:numPr>
        <w:ind w:left="360"/>
        <w:rPr>
          <w:rFonts w:ascii="Arial" w:hAnsi="Arial" w:cs="Arial"/>
        </w:rPr>
      </w:pPr>
      <w:r w:rsidRPr="00933424">
        <w:rPr>
          <w:rFonts w:ascii="Arial" w:hAnsi="Arial" w:cs="Arial"/>
        </w:rPr>
        <w:t xml:space="preserve">HSE is </w:t>
      </w:r>
      <w:r w:rsidR="00926912">
        <w:rPr>
          <w:rFonts w:ascii="Arial" w:hAnsi="Arial" w:cs="Arial"/>
        </w:rPr>
        <w:t xml:space="preserve">also </w:t>
      </w:r>
      <w:r w:rsidRPr="00933424">
        <w:rPr>
          <w:rFonts w:ascii="Arial" w:hAnsi="Arial" w:cs="Arial"/>
        </w:rPr>
        <w:t xml:space="preserve">aware that embalming the deceased with these viruses present is carried out in certain situations.  This is most likely carried out by businesses that are aware of the risks of infection and therefore implement the appropriate measures to control the risk.  However, it is also foreseeable that businesses </w:t>
      </w:r>
      <w:r w:rsidR="00F84AF3">
        <w:rPr>
          <w:rFonts w:ascii="Arial" w:hAnsi="Arial" w:cs="Arial"/>
        </w:rPr>
        <w:t xml:space="preserve">will </w:t>
      </w:r>
      <w:r w:rsidRPr="00933424">
        <w:rPr>
          <w:rFonts w:ascii="Arial" w:hAnsi="Arial" w:cs="Arial"/>
        </w:rPr>
        <w:t xml:space="preserve">carry out these procedures without the appropriate control measures putting themselves and others at risk of infection and therefore it is necessary to revise the guidance to explain the necessary control measures required to control the risk of infection. </w:t>
      </w:r>
    </w:p>
    <w:p w:rsidR="00933424" w:rsidRPr="00933424" w:rsidRDefault="00933424" w:rsidP="00933424">
      <w:pPr>
        <w:rPr>
          <w:rFonts w:ascii="Arial" w:hAnsi="Arial" w:cs="Arial"/>
        </w:rPr>
      </w:pPr>
    </w:p>
    <w:p w:rsidR="00933424" w:rsidRPr="00933424" w:rsidRDefault="00933424" w:rsidP="00933424">
      <w:pPr>
        <w:rPr>
          <w:rFonts w:ascii="Arial" w:hAnsi="Arial" w:cs="Arial"/>
          <w:b/>
        </w:rPr>
      </w:pPr>
      <w:r w:rsidRPr="00933424">
        <w:rPr>
          <w:rFonts w:ascii="Arial" w:hAnsi="Arial" w:cs="Arial"/>
          <w:b/>
        </w:rPr>
        <w:t>Rationale for intervention</w:t>
      </w:r>
    </w:p>
    <w:p w:rsidR="00933424" w:rsidRPr="00933424" w:rsidRDefault="00933424" w:rsidP="00933424">
      <w:pPr>
        <w:rPr>
          <w:rFonts w:ascii="Arial" w:hAnsi="Arial" w:cs="Arial"/>
        </w:rPr>
      </w:pPr>
    </w:p>
    <w:p w:rsidR="00933424" w:rsidRPr="00933424" w:rsidRDefault="00933424" w:rsidP="00413D78">
      <w:pPr>
        <w:numPr>
          <w:ilvl w:val="0"/>
          <w:numId w:val="6"/>
        </w:numPr>
        <w:ind w:left="360"/>
        <w:rPr>
          <w:rFonts w:ascii="Arial" w:hAnsi="Arial" w:cs="Arial"/>
        </w:rPr>
      </w:pPr>
      <w:r w:rsidRPr="00933424">
        <w:rPr>
          <w:rFonts w:ascii="Arial" w:hAnsi="Arial" w:cs="Arial"/>
        </w:rPr>
        <w:t>Since the human remains guidance was first published, there has been wider experience gained f</w:t>
      </w:r>
      <w:r w:rsidR="00413D78">
        <w:rPr>
          <w:rFonts w:ascii="Arial" w:hAnsi="Arial" w:cs="Arial"/>
        </w:rPr>
        <w:t xml:space="preserve">rom treating patients with </w:t>
      </w:r>
      <w:r w:rsidR="00926912">
        <w:rPr>
          <w:rFonts w:ascii="Arial" w:hAnsi="Arial" w:cs="Arial"/>
        </w:rPr>
        <w:t xml:space="preserve">HG3 </w:t>
      </w:r>
      <w:r w:rsidR="00413D78">
        <w:rPr>
          <w:rFonts w:ascii="Arial" w:hAnsi="Arial" w:cs="Arial"/>
        </w:rPr>
        <w:t>BBVs</w:t>
      </w:r>
      <w:r w:rsidRPr="00933424">
        <w:rPr>
          <w:rFonts w:ascii="Arial" w:hAnsi="Arial" w:cs="Arial"/>
        </w:rPr>
        <w:t xml:space="preserve"> and understanding of the epidemiology and transmission of these viruses. There is greater understanding of how the transmission cycle can be effectively interrupted with appropriate and proportionate control measures.</w:t>
      </w:r>
    </w:p>
    <w:p w:rsidR="00933424" w:rsidRPr="00933424" w:rsidRDefault="00933424" w:rsidP="00413D78">
      <w:pPr>
        <w:ind w:left="-360" w:firstLine="72"/>
        <w:rPr>
          <w:rFonts w:ascii="Arial" w:hAnsi="Arial" w:cs="Arial"/>
        </w:rPr>
      </w:pPr>
    </w:p>
    <w:p w:rsidR="00933424" w:rsidRDefault="00933424" w:rsidP="00413D78">
      <w:pPr>
        <w:numPr>
          <w:ilvl w:val="0"/>
          <w:numId w:val="6"/>
        </w:numPr>
        <w:ind w:left="360"/>
        <w:rPr>
          <w:rFonts w:ascii="Arial" w:hAnsi="Arial" w:cs="Arial"/>
        </w:rPr>
      </w:pPr>
      <w:r w:rsidRPr="00933424">
        <w:rPr>
          <w:rFonts w:ascii="Arial" w:hAnsi="Arial" w:cs="Arial"/>
        </w:rPr>
        <w:t xml:space="preserve">It is necessary to reflect this wider experience of controlling the risk of infection and ensure the necessary controls and safe working </w:t>
      </w:r>
      <w:r w:rsidR="00926912">
        <w:rPr>
          <w:rFonts w:ascii="Arial" w:hAnsi="Arial" w:cs="Arial"/>
        </w:rPr>
        <w:t>practices are reflected in</w:t>
      </w:r>
      <w:r w:rsidRPr="00933424">
        <w:rPr>
          <w:rFonts w:ascii="Arial" w:hAnsi="Arial" w:cs="Arial"/>
        </w:rPr>
        <w:t xml:space="preserve"> guidance.</w:t>
      </w:r>
    </w:p>
    <w:p w:rsidR="005B3185" w:rsidRDefault="005B3185" w:rsidP="005B3185">
      <w:pPr>
        <w:pStyle w:val="ListParagraph"/>
        <w:rPr>
          <w:rFonts w:ascii="Arial" w:hAnsi="Arial" w:cs="Arial"/>
        </w:rPr>
      </w:pPr>
    </w:p>
    <w:p w:rsidR="00933424" w:rsidRDefault="005B3185" w:rsidP="00933424">
      <w:pPr>
        <w:numPr>
          <w:ilvl w:val="0"/>
          <w:numId w:val="6"/>
        </w:numPr>
        <w:ind w:left="360"/>
        <w:rPr>
          <w:rFonts w:ascii="Arial" w:hAnsi="Arial" w:cs="Arial"/>
        </w:rPr>
      </w:pPr>
      <w:r w:rsidRPr="005B3185">
        <w:rPr>
          <w:rFonts w:ascii="Arial" w:hAnsi="Arial" w:cs="Arial"/>
        </w:rPr>
        <w:t>Both of these guidance documents have been in publication for 10+ years and in line with government principles for producing guidance, it is necessary to review the documents to ensure that they present a practical and proportionate approach for organisations to help them comply with health and safety law.  This will be achieved by ensuring the gui</w:t>
      </w:r>
      <w:r w:rsidR="00926912">
        <w:rPr>
          <w:rFonts w:ascii="Arial" w:hAnsi="Arial" w:cs="Arial"/>
        </w:rPr>
        <w:t>dance focuses on compliance</w:t>
      </w:r>
      <w:r w:rsidRPr="005B3185">
        <w:rPr>
          <w:rFonts w:ascii="Arial" w:hAnsi="Arial" w:cs="Arial"/>
        </w:rPr>
        <w:t xml:space="preserve"> and avoids unnecessary duplication, is proportionate to risk, maintains health and safety standards, and preserves important information and messages that have been developed over many years which currently work for stakeholders.</w:t>
      </w:r>
    </w:p>
    <w:p w:rsidR="005B3185" w:rsidRPr="005B3185" w:rsidRDefault="005B3185" w:rsidP="005B3185">
      <w:pPr>
        <w:rPr>
          <w:rFonts w:ascii="Arial" w:hAnsi="Arial" w:cs="Arial"/>
        </w:rPr>
      </w:pPr>
    </w:p>
    <w:p w:rsidR="00933424" w:rsidRPr="00933424" w:rsidRDefault="00933424" w:rsidP="00933424">
      <w:pPr>
        <w:rPr>
          <w:rFonts w:ascii="Arial" w:hAnsi="Arial" w:cs="Arial"/>
          <w:b/>
        </w:rPr>
      </w:pPr>
      <w:r w:rsidRPr="00933424">
        <w:rPr>
          <w:rFonts w:ascii="Arial" w:hAnsi="Arial" w:cs="Arial"/>
          <w:b/>
        </w:rPr>
        <w:t>Description of options considered</w:t>
      </w:r>
    </w:p>
    <w:p w:rsidR="00933424" w:rsidRPr="00933424" w:rsidRDefault="00933424" w:rsidP="00933424">
      <w:pPr>
        <w:rPr>
          <w:rFonts w:ascii="Arial" w:hAnsi="Arial" w:cs="Arial"/>
        </w:rPr>
      </w:pPr>
    </w:p>
    <w:p w:rsidR="00933424" w:rsidRPr="00933424" w:rsidRDefault="00933424" w:rsidP="00933424">
      <w:pPr>
        <w:rPr>
          <w:rFonts w:ascii="Arial" w:hAnsi="Arial" w:cs="Arial"/>
          <w:b/>
        </w:rPr>
      </w:pPr>
      <w:r w:rsidRPr="00933424">
        <w:rPr>
          <w:rFonts w:ascii="Arial" w:hAnsi="Arial" w:cs="Arial"/>
          <w:b/>
        </w:rPr>
        <w:t>Option 1: Do nothing (baseline)</w:t>
      </w:r>
    </w:p>
    <w:p w:rsidR="00933424" w:rsidRPr="00933424" w:rsidRDefault="00933424" w:rsidP="00933424">
      <w:pPr>
        <w:rPr>
          <w:rFonts w:ascii="Arial" w:hAnsi="Arial" w:cs="Arial"/>
        </w:rPr>
      </w:pPr>
    </w:p>
    <w:p w:rsidR="00933424" w:rsidRPr="00933424" w:rsidRDefault="00933424" w:rsidP="006A3249">
      <w:pPr>
        <w:numPr>
          <w:ilvl w:val="0"/>
          <w:numId w:val="6"/>
        </w:numPr>
        <w:ind w:left="360"/>
        <w:rPr>
          <w:rFonts w:ascii="Arial" w:hAnsi="Arial" w:cs="Arial"/>
        </w:rPr>
      </w:pPr>
      <w:r w:rsidRPr="00933424">
        <w:rPr>
          <w:rFonts w:ascii="Arial" w:hAnsi="Arial" w:cs="Arial"/>
        </w:rPr>
        <w:t>Under the baseline option, the current situation would continue and therefore there are no additional costs and benefits.</w:t>
      </w:r>
    </w:p>
    <w:p w:rsidR="00933424" w:rsidRPr="00933424" w:rsidRDefault="00933424" w:rsidP="006A3249">
      <w:pPr>
        <w:rPr>
          <w:rFonts w:ascii="Arial" w:hAnsi="Arial" w:cs="Arial"/>
        </w:rPr>
      </w:pPr>
    </w:p>
    <w:p w:rsidR="00933424" w:rsidRPr="00933424" w:rsidRDefault="00933424" w:rsidP="006A3249">
      <w:pPr>
        <w:numPr>
          <w:ilvl w:val="0"/>
          <w:numId w:val="6"/>
        </w:numPr>
        <w:ind w:left="360"/>
        <w:rPr>
          <w:rFonts w:ascii="Arial" w:hAnsi="Arial" w:cs="Arial"/>
        </w:rPr>
      </w:pPr>
      <w:r w:rsidRPr="00933424">
        <w:rPr>
          <w:rFonts w:ascii="Arial" w:hAnsi="Arial" w:cs="Arial"/>
        </w:rPr>
        <w:t xml:space="preserve">This option is not favoured as HSE has been informed that embalming of bodies with </w:t>
      </w:r>
      <w:r w:rsidR="00926912">
        <w:rPr>
          <w:rFonts w:ascii="Arial" w:hAnsi="Arial" w:cs="Arial"/>
        </w:rPr>
        <w:t xml:space="preserve">certain HG3 </w:t>
      </w:r>
      <w:r w:rsidR="00413D78">
        <w:rPr>
          <w:rFonts w:ascii="Arial" w:hAnsi="Arial" w:cs="Arial"/>
        </w:rPr>
        <w:t>BBVs</w:t>
      </w:r>
      <w:r w:rsidRPr="00933424">
        <w:rPr>
          <w:rFonts w:ascii="Arial" w:hAnsi="Arial" w:cs="Arial"/>
        </w:rPr>
        <w:t xml:space="preserve"> is carried out (i.e. mainly when a body requires repatriation) and it is necessary to revise the guidance to ensure suitable control measures are put in place to prevent workers putting themselves and others at risk of infection. Similarly the restriction on embalming of the deceased with HG3 </w:t>
      </w:r>
      <w:r w:rsidR="00413D78">
        <w:rPr>
          <w:rFonts w:ascii="Arial" w:hAnsi="Arial" w:cs="Arial"/>
        </w:rPr>
        <w:t>BBVs</w:t>
      </w:r>
      <w:r w:rsidR="00896C97">
        <w:rPr>
          <w:rFonts w:ascii="Arial" w:hAnsi="Arial" w:cs="Arial"/>
        </w:rPr>
        <w:t xml:space="preserve"> </w:t>
      </w:r>
      <w:r w:rsidR="00413D78">
        <w:rPr>
          <w:rFonts w:ascii="Arial" w:hAnsi="Arial" w:cs="Arial"/>
        </w:rPr>
        <w:t>can be</w:t>
      </w:r>
      <w:r w:rsidRPr="00933424">
        <w:rPr>
          <w:rFonts w:ascii="Arial" w:hAnsi="Arial" w:cs="Arial"/>
        </w:rPr>
        <w:t xml:space="preserve"> overly prohibitive and causes distress to families of the deceased. </w:t>
      </w:r>
    </w:p>
    <w:p w:rsidR="00933424" w:rsidRPr="00933424" w:rsidRDefault="00933424" w:rsidP="00933424">
      <w:pPr>
        <w:rPr>
          <w:rFonts w:ascii="Arial" w:hAnsi="Arial" w:cs="Arial"/>
        </w:rPr>
      </w:pPr>
    </w:p>
    <w:p w:rsidR="00933424" w:rsidRPr="00933424" w:rsidRDefault="00933424" w:rsidP="00933424">
      <w:pPr>
        <w:rPr>
          <w:rFonts w:ascii="Arial" w:hAnsi="Arial" w:cs="Arial"/>
          <w:b/>
        </w:rPr>
      </w:pPr>
      <w:r w:rsidRPr="00933424">
        <w:rPr>
          <w:rFonts w:ascii="Arial" w:hAnsi="Arial" w:cs="Arial"/>
          <w:b/>
        </w:rPr>
        <w:t xml:space="preserve">Option 2 – Revise and combine ‘Controlling the risks of infection </w:t>
      </w:r>
      <w:r w:rsidR="00E56F8B">
        <w:rPr>
          <w:rFonts w:ascii="Arial" w:hAnsi="Arial" w:cs="Arial"/>
          <w:b/>
        </w:rPr>
        <w:t xml:space="preserve">at work </w:t>
      </w:r>
      <w:r w:rsidRPr="00933424">
        <w:rPr>
          <w:rFonts w:ascii="Arial" w:hAnsi="Arial" w:cs="Arial"/>
          <w:b/>
        </w:rPr>
        <w:t xml:space="preserve">from human remains’ and ‘Safe working and the prevention of infection in the mortuary and post-mortem room’ </w:t>
      </w:r>
      <w:r w:rsidR="002E1F7A">
        <w:rPr>
          <w:rFonts w:ascii="Arial" w:hAnsi="Arial" w:cs="Arial"/>
          <w:b/>
        </w:rPr>
        <w:t>without changing existing policy on embalming</w:t>
      </w:r>
    </w:p>
    <w:p w:rsidR="00933424" w:rsidRPr="00933424" w:rsidRDefault="00933424" w:rsidP="00933424">
      <w:pPr>
        <w:rPr>
          <w:rFonts w:ascii="Arial" w:hAnsi="Arial" w:cs="Arial"/>
        </w:rPr>
      </w:pPr>
    </w:p>
    <w:p w:rsidR="00933424" w:rsidRPr="00933424" w:rsidRDefault="00933424" w:rsidP="006A3249">
      <w:pPr>
        <w:numPr>
          <w:ilvl w:val="0"/>
          <w:numId w:val="6"/>
        </w:numPr>
        <w:ind w:left="360"/>
        <w:rPr>
          <w:rFonts w:ascii="Arial" w:hAnsi="Arial" w:cs="Arial"/>
        </w:rPr>
      </w:pPr>
      <w:r w:rsidRPr="00933424">
        <w:rPr>
          <w:rFonts w:ascii="Arial" w:hAnsi="Arial" w:cs="Arial"/>
        </w:rPr>
        <w:t xml:space="preserve">The Association of </w:t>
      </w:r>
      <w:r w:rsidR="00AC6AE4">
        <w:rPr>
          <w:rFonts w:ascii="Arial" w:hAnsi="Arial" w:cs="Arial"/>
        </w:rPr>
        <w:t xml:space="preserve">Anatomical </w:t>
      </w:r>
      <w:r w:rsidRPr="00933424">
        <w:rPr>
          <w:rFonts w:ascii="Arial" w:hAnsi="Arial" w:cs="Arial"/>
        </w:rPr>
        <w:t>Pathology Techn</w:t>
      </w:r>
      <w:r w:rsidR="00AC6AE4">
        <w:rPr>
          <w:rFonts w:ascii="Arial" w:hAnsi="Arial" w:cs="Arial"/>
        </w:rPr>
        <w:t xml:space="preserve">ology </w:t>
      </w:r>
      <w:r w:rsidRPr="00933424">
        <w:rPr>
          <w:rFonts w:ascii="Arial" w:hAnsi="Arial" w:cs="Arial"/>
        </w:rPr>
        <w:t>(AAPT) have advised HSE that the mortuary and post mortem room guidance is now out of date as it does not reflect current procedures and practices.  A key benefit of this option would be the opportunity to address this issue.  This option would also allow two closely related guidance documents to be combined and cross-cutting issues to be aligned where possible making it an effective use of HSE and industry resources.</w:t>
      </w:r>
    </w:p>
    <w:p w:rsidR="00933424" w:rsidRPr="00933424" w:rsidRDefault="00933424" w:rsidP="006A3249">
      <w:pPr>
        <w:rPr>
          <w:rFonts w:ascii="Arial" w:hAnsi="Arial" w:cs="Arial"/>
        </w:rPr>
      </w:pPr>
    </w:p>
    <w:p w:rsidR="00933424" w:rsidRPr="00933424" w:rsidRDefault="00933424" w:rsidP="006A3249">
      <w:pPr>
        <w:numPr>
          <w:ilvl w:val="0"/>
          <w:numId w:val="6"/>
        </w:numPr>
        <w:ind w:left="360"/>
        <w:rPr>
          <w:rFonts w:ascii="Arial" w:hAnsi="Arial" w:cs="Arial"/>
        </w:rPr>
      </w:pPr>
      <w:r w:rsidRPr="00933424">
        <w:rPr>
          <w:rFonts w:ascii="Arial" w:hAnsi="Arial" w:cs="Arial"/>
        </w:rPr>
        <w:lastRenderedPageBreak/>
        <w:t xml:space="preserve">The costs associated with this option would originate from familiarisation costs for </w:t>
      </w:r>
      <w:proofErr w:type="spellStart"/>
      <w:r w:rsidRPr="00933424">
        <w:rPr>
          <w:rFonts w:ascii="Arial" w:hAnsi="Arial" w:cs="Arial"/>
        </w:rPr>
        <w:t>dutyholders</w:t>
      </w:r>
      <w:proofErr w:type="spellEnd"/>
      <w:r w:rsidRPr="00933424">
        <w:rPr>
          <w:rFonts w:ascii="Arial" w:hAnsi="Arial" w:cs="Arial"/>
        </w:rPr>
        <w:t xml:space="preserve"> having to read and understand the new guidance.  However, this option is not favoured for the same r</w:t>
      </w:r>
      <w:r w:rsidR="00E56F8B">
        <w:rPr>
          <w:rFonts w:ascii="Arial" w:hAnsi="Arial" w:cs="Arial"/>
        </w:rPr>
        <w:t xml:space="preserve">easons described in paragraph </w:t>
      </w:r>
      <w:r w:rsidR="002E1F7A">
        <w:rPr>
          <w:rFonts w:ascii="Arial" w:hAnsi="Arial" w:cs="Arial"/>
        </w:rPr>
        <w:t>9</w:t>
      </w:r>
      <w:r w:rsidRPr="00933424">
        <w:rPr>
          <w:rFonts w:ascii="Arial" w:hAnsi="Arial" w:cs="Arial"/>
        </w:rPr>
        <w:t xml:space="preserve">. </w:t>
      </w:r>
    </w:p>
    <w:p w:rsidR="00933424" w:rsidRPr="00933424" w:rsidRDefault="00933424" w:rsidP="00933424">
      <w:pPr>
        <w:rPr>
          <w:rFonts w:ascii="Arial" w:hAnsi="Arial" w:cs="Arial"/>
        </w:rPr>
      </w:pPr>
    </w:p>
    <w:p w:rsidR="00933424" w:rsidRPr="00933424" w:rsidRDefault="00933424" w:rsidP="00933424">
      <w:pPr>
        <w:rPr>
          <w:rFonts w:ascii="Arial" w:hAnsi="Arial" w:cs="Arial"/>
          <w:b/>
        </w:rPr>
      </w:pPr>
      <w:r w:rsidRPr="00933424">
        <w:rPr>
          <w:rFonts w:ascii="Arial" w:hAnsi="Arial" w:cs="Arial"/>
          <w:b/>
        </w:rPr>
        <w:t>Option 3 – Revise and combine ‘Controlling the risks of infection</w:t>
      </w:r>
      <w:r w:rsidR="00E56F8B">
        <w:rPr>
          <w:rFonts w:ascii="Arial" w:hAnsi="Arial" w:cs="Arial"/>
          <w:b/>
        </w:rPr>
        <w:t xml:space="preserve"> at work</w:t>
      </w:r>
      <w:r w:rsidRPr="00933424">
        <w:rPr>
          <w:rFonts w:ascii="Arial" w:hAnsi="Arial" w:cs="Arial"/>
          <w:b/>
        </w:rPr>
        <w:t xml:space="preserve"> from human remains’ and ‘Safe working and the prevention of infection in the mortuary and post-mortem room’ and introduce safe working practices for embalming bodies with known </w:t>
      </w:r>
      <w:r w:rsidR="00896C97">
        <w:rPr>
          <w:rFonts w:ascii="Arial" w:hAnsi="Arial" w:cs="Arial"/>
          <w:b/>
        </w:rPr>
        <w:t xml:space="preserve">or suspected </w:t>
      </w:r>
      <w:r w:rsidRPr="00933424">
        <w:rPr>
          <w:rFonts w:ascii="Arial" w:hAnsi="Arial" w:cs="Arial"/>
          <w:b/>
        </w:rPr>
        <w:t>HG3 blood-borne viruses</w:t>
      </w:r>
    </w:p>
    <w:p w:rsidR="00933424" w:rsidRPr="00933424" w:rsidRDefault="00933424" w:rsidP="00933424">
      <w:pPr>
        <w:rPr>
          <w:rFonts w:ascii="Arial" w:hAnsi="Arial" w:cs="Arial"/>
        </w:rPr>
      </w:pPr>
    </w:p>
    <w:p w:rsidR="00933424" w:rsidRPr="00933424" w:rsidRDefault="00933424" w:rsidP="006A3249">
      <w:pPr>
        <w:numPr>
          <w:ilvl w:val="0"/>
          <w:numId w:val="6"/>
        </w:numPr>
        <w:ind w:left="360"/>
        <w:rPr>
          <w:rFonts w:ascii="Arial" w:hAnsi="Arial" w:cs="Arial"/>
        </w:rPr>
      </w:pPr>
      <w:r w:rsidRPr="00933424">
        <w:rPr>
          <w:rFonts w:ascii="Arial" w:hAnsi="Arial" w:cs="Arial"/>
        </w:rPr>
        <w:t xml:space="preserve">This is the preferred option as it allows HSE to ensure that risks from exposure to </w:t>
      </w:r>
      <w:r w:rsidR="00926912">
        <w:rPr>
          <w:rFonts w:ascii="Arial" w:hAnsi="Arial" w:cs="Arial"/>
        </w:rPr>
        <w:t xml:space="preserve">HG3 </w:t>
      </w:r>
      <w:r w:rsidR="0056081D">
        <w:rPr>
          <w:rFonts w:ascii="Arial" w:hAnsi="Arial" w:cs="Arial"/>
        </w:rPr>
        <w:t>BBVs</w:t>
      </w:r>
      <w:r w:rsidRPr="00933424">
        <w:rPr>
          <w:rFonts w:ascii="Arial" w:hAnsi="Arial" w:cs="Arial"/>
        </w:rPr>
        <w:t xml:space="preserve"> during embalming procedures and post mortem practice are managed appropriately with safe working practices outlined in guidance.  This option also has the benefits described in Option 2 (paragraph </w:t>
      </w:r>
      <w:r w:rsidR="002D7984">
        <w:rPr>
          <w:rFonts w:ascii="Arial" w:hAnsi="Arial" w:cs="Arial"/>
        </w:rPr>
        <w:t>10</w:t>
      </w:r>
      <w:r w:rsidRPr="00933424">
        <w:rPr>
          <w:rFonts w:ascii="Arial" w:hAnsi="Arial" w:cs="Arial"/>
        </w:rPr>
        <w:t xml:space="preserve">). </w:t>
      </w:r>
    </w:p>
    <w:p w:rsidR="00933424" w:rsidRPr="00933424" w:rsidRDefault="00933424" w:rsidP="006A3249">
      <w:pPr>
        <w:rPr>
          <w:rFonts w:ascii="Arial" w:hAnsi="Arial" w:cs="Arial"/>
        </w:rPr>
      </w:pPr>
    </w:p>
    <w:p w:rsidR="00933424" w:rsidRPr="00933424" w:rsidRDefault="00933424" w:rsidP="006A3249">
      <w:pPr>
        <w:numPr>
          <w:ilvl w:val="0"/>
          <w:numId w:val="6"/>
        </w:numPr>
        <w:ind w:left="360"/>
        <w:rPr>
          <w:rFonts w:ascii="Arial" w:hAnsi="Arial" w:cs="Arial"/>
        </w:rPr>
      </w:pPr>
      <w:r w:rsidRPr="00933424">
        <w:rPr>
          <w:rFonts w:ascii="Arial" w:hAnsi="Arial" w:cs="Arial"/>
        </w:rPr>
        <w:t xml:space="preserve">As with Option 2, there will be costs associated with this option from familiarisation of the revised guidance.  There may also be a cost to the industry from needing to improve the control measures </w:t>
      </w:r>
      <w:r w:rsidR="00E56F8B">
        <w:rPr>
          <w:rFonts w:ascii="Arial" w:hAnsi="Arial" w:cs="Arial"/>
        </w:rPr>
        <w:t>for</w:t>
      </w:r>
      <w:r w:rsidRPr="00933424">
        <w:rPr>
          <w:rFonts w:ascii="Arial" w:hAnsi="Arial" w:cs="Arial"/>
        </w:rPr>
        <w:t xml:space="preserve"> embalm</w:t>
      </w:r>
      <w:r w:rsidR="00E56F8B">
        <w:rPr>
          <w:rFonts w:ascii="Arial" w:hAnsi="Arial" w:cs="Arial"/>
        </w:rPr>
        <w:t>ing</w:t>
      </w:r>
      <w:r w:rsidRPr="00933424">
        <w:rPr>
          <w:rFonts w:ascii="Arial" w:hAnsi="Arial" w:cs="Arial"/>
        </w:rPr>
        <w:t xml:space="preserve"> bodies with </w:t>
      </w:r>
      <w:r w:rsidR="0056081D">
        <w:rPr>
          <w:rFonts w:ascii="Arial" w:hAnsi="Arial" w:cs="Arial"/>
        </w:rPr>
        <w:t>BBVs</w:t>
      </w:r>
      <w:r w:rsidRPr="00933424">
        <w:rPr>
          <w:rFonts w:ascii="Arial" w:hAnsi="Arial" w:cs="Arial"/>
        </w:rPr>
        <w:t>.  HSE does not anticipate that all of the funeral industry would have the means or skills to carry out embalming of this nature and therefore would continue not to carry</w:t>
      </w:r>
      <w:r w:rsidR="0056081D">
        <w:rPr>
          <w:rFonts w:ascii="Arial" w:hAnsi="Arial" w:cs="Arial"/>
        </w:rPr>
        <w:t xml:space="preserve"> out these procedures at their premises</w:t>
      </w:r>
      <w:r w:rsidRPr="00933424">
        <w:rPr>
          <w:rFonts w:ascii="Arial" w:hAnsi="Arial" w:cs="Arial"/>
        </w:rPr>
        <w:t>. Any business that chose to invest in the necessary skills, facilities or equipment would only do so if they assessed that it was in their business interest to do so.</w:t>
      </w:r>
    </w:p>
    <w:p w:rsidR="00933424" w:rsidRPr="00933424" w:rsidRDefault="00933424" w:rsidP="00933424">
      <w:pPr>
        <w:rPr>
          <w:rFonts w:ascii="Arial" w:hAnsi="Arial" w:cs="Arial"/>
        </w:rPr>
      </w:pPr>
    </w:p>
    <w:p w:rsidR="00933424" w:rsidRDefault="00933424" w:rsidP="00933424">
      <w:pPr>
        <w:rPr>
          <w:rFonts w:ascii="Arial" w:hAnsi="Arial" w:cs="Arial"/>
          <w:b/>
        </w:rPr>
      </w:pPr>
      <w:r w:rsidRPr="00933424">
        <w:rPr>
          <w:rFonts w:ascii="Arial" w:hAnsi="Arial" w:cs="Arial"/>
          <w:b/>
        </w:rPr>
        <w:t>Options considered but not taken forward</w:t>
      </w:r>
    </w:p>
    <w:p w:rsidR="00933424" w:rsidRPr="00E56F8B" w:rsidRDefault="00933424" w:rsidP="00933424">
      <w:pPr>
        <w:rPr>
          <w:rFonts w:ascii="Arial" w:hAnsi="Arial" w:cs="Arial"/>
        </w:rPr>
      </w:pPr>
    </w:p>
    <w:p w:rsidR="00933424" w:rsidRPr="00E56F8B" w:rsidRDefault="00933424" w:rsidP="006A3249">
      <w:pPr>
        <w:numPr>
          <w:ilvl w:val="0"/>
          <w:numId w:val="6"/>
        </w:numPr>
        <w:ind w:left="360"/>
        <w:rPr>
          <w:rFonts w:ascii="Arial" w:hAnsi="Arial" w:cs="Arial"/>
        </w:rPr>
      </w:pPr>
      <w:r w:rsidRPr="00E56F8B">
        <w:rPr>
          <w:rFonts w:ascii="Arial" w:hAnsi="Arial" w:cs="Arial"/>
        </w:rPr>
        <w:t>There is a risk that those carrying out embalming procedures</w:t>
      </w:r>
      <w:r w:rsidR="00E56F8B" w:rsidRPr="00E56F8B">
        <w:rPr>
          <w:rFonts w:ascii="Arial" w:hAnsi="Arial" w:cs="Arial"/>
        </w:rPr>
        <w:t xml:space="preserve"> and post mortem examinations</w:t>
      </w:r>
      <w:r w:rsidRPr="00E56F8B">
        <w:rPr>
          <w:rFonts w:ascii="Arial" w:hAnsi="Arial" w:cs="Arial"/>
        </w:rPr>
        <w:t xml:space="preserve"> will be exposed to a body with an unknown infection. The control measures set out in the current guidance will provide a good level of protection in most cases, but may be insufficient to prevent transmission of specific infectious agents, such as HG3 </w:t>
      </w:r>
      <w:r w:rsidR="0056081D" w:rsidRPr="00E56F8B">
        <w:rPr>
          <w:rFonts w:ascii="Arial" w:hAnsi="Arial" w:cs="Arial"/>
        </w:rPr>
        <w:t>BBVs</w:t>
      </w:r>
      <w:r w:rsidRPr="00E56F8B">
        <w:rPr>
          <w:rFonts w:ascii="Arial" w:hAnsi="Arial" w:cs="Arial"/>
        </w:rPr>
        <w:t xml:space="preserve">.  To introduce a precautionary approach for embalming all bodies would reduce the risk of embalmers being exposed to unknown infections. </w:t>
      </w:r>
    </w:p>
    <w:p w:rsidR="00933424" w:rsidRPr="00E56F8B" w:rsidRDefault="00933424" w:rsidP="006A3249">
      <w:pPr>
        <w:rPr>
          <w:rFonts w:ascii="Arial" w:hAnsi="Arial" w:cs="Arial"/>
        </w:rPr>
      </w:pPr>
    </w:p>
    <w:p w:rsidR="00933424" w:rsidRPr="00E56F8B" w:rsidRDefault="00933424" w:rsidP="006A3249">
      <w:pPr>
        <w:numPr>
          <w:ilvl w:val="0"/>
          <w:numId w:val="6"/>
        </w:numPr>
        <w:ind w:left="360"/>
        <w:rPr>
          <w:rFonts w:ascii="Arial" w:hAnsi="Arial" w:cs="Arial"/>
        </w:rPr>
      </w:pPr>
      <w:r w:rsidRPr="00E56F8B">
        <w:rPr>
          <w:rFonts w:ascii="Arial" w:hAnsi="Arial" w:cs="Arial"/>
        </w:rPr>
        <w:t xml:space="preserve">This option would advocate the use of the necessary control measures to prevent the risk of exposure to any infection for embalming of all bodies.  HSE understands this change of approach would incur a significant cost to the majority of the industry from needing to improve control measures to carry out this approach. While there </w:t>
      </w:r>
      <w:proofErr w:type="gramStart"/>
      <w:r w:rsidRPr="00E56F8B">
        <w:rPr>
          <w:rFonts w:ascii="Arial" w:hAnsi="Arial" w:cs="Arial"/>
        </w:rPr>
        <w:t>have</w:t>
      </w:r>
      <w:proofErr w:type="gramEnd"/>
      <w:r w:rsidRPr="00E56F8B">
        <w:rPr>
          <w:rFonts w:ascii="Arial" w:hAnsi="Arial" w:cs="Arial"/>
        </w:rPr>
        <w:t xml:space="preserve"> been few literature studies on this subject, those to date have identified very few incidences of embalmers acquiring infections </w:t>
      </w:r>
      <w:r w:rsidR="00E56F8B">
        <w:rPr>
          <w:rFonts w:ascii="Arial" w:hAnsi="Arial" w:cs="Arial"/>
        </w:rPr>
        <w:t>and could not be directly attributable to workplace exposure</w:t>
      </w:r>
      <w:r w:rsidRPr="00E56F8B">
        <w:rPr>
          <w:rFonts w:ascii="Arial" w:hAnsi="Arial" w:cs="Arial"/>
        </w:rPr>
        <w:t xml:space="preserve">.  </w:t>
      </w:r>
      <w:r w:rsidR="00931FCF">
        <w:rPr>
          <w:rFonts w:ascii="Arial" w:hAnsi="Arial" w:cs="Arial"/>
        </w:rPr>
        <w:t>Similarly there are no significant issues raised through reporting of accidents, ill health or dangerous occurrences via RIDDOR. Consequently, in the absence of evidence to the contrary, t</w:t>
      </w:r>
      <w:r w:rsidR="00931FCF" w:rsidRPr="00E56F8B">
        <w:rPr>
          <w:rFonts w:ascii="Arial" w:hAnsi="Arial" w:cs="Arial"/>
        </w:rPr>
        <w:t xml:space="preserve">his </w:t>
      </w:r>
      <w:r w:rsidR="00931FCF">
        <w:rPr>
          <w:rFonts w:ascii="Arial" w:hAnsi="Arial" w:cs="Arial"/>
        </w:rPr>
        <w:t xml:space="preserve">option </w:t>
      </w:r>
      <w:r w:rsidR="00931FCF" w:rsidRPr="00E56F8B">
        <w:rPr>
          <w:rFonts w:ascii="Arial" w:hAnsi="Arial" w:cs="Arial"/>
        </w:rPr>
        <w:t xml:space="preserve">would not be proportionate to the risks of infection from unknown cases.  </w:t>
      </w:r>
    </w:p>
    <w:p w:rsidR="00933424" w:rsidRPr="00933424" w:rsidRDefault="00933424" w:rsidP="00933424">
      <w:pPr>
        <w:rPr>
          <w:rFonts w:ascii="Arial" w:hAnsi="Arial" w:cs="Arial"/>
        </w:rPr>
      </w:pPr>
    </w:p>
    <w:p w:rsidR="00933424" w:rsidRPr="00933424" w:rsidRDefault="00933424" w:rsidP="00933424">
      <w:pPr>
        <w:rPr>
          <w:rFonts w:ascii="Arial" w:hAnsi="Arial" w:cs="Arial"/>
          <w:b/>
        </w:rPr>
      </w:pPr>
      <w:r w:rsidRPr="00933424">
        <w:rPr>
          <w:rFonts w:ascii="Arial" w:hAnsi="Arial" w:cs="Arial"/>
          <w:b/>
        </w:rPr>
        <w:t>Organisations affected</w:t>
      </w:r>
    </w:p>
    <w:p w:rsidR="00933424" w:rsidRPr="00933424" w:rsidRDefault="00933424" w:rsidP="00933424">
      <w:pPr>
        <w:rPr>
          <w:rFonts w:ascii="Arial" w:hAnsi="Arial" w:cs="Arial"/>
          <w:i/>
        </w:rPr>
      </w:pPr>
    </w:p>
    <w:p w:rsidR="00933424" w:rsidRPr="00933424" w:rsidRDefault="00933424" w:rsidP="00933424">
      <w:pPr>
        <w:rPr>
          <w:rFonts w:ascii="Arial" w:hAnsi="Arial" w:cs="Arial"/>
          <w:i/>
        </w:rPr>
      </w:pPr>
      <w:r w:rsidRPr="00933424">
        <w:rPr>
          <w:rFonts w:ascii="Arial" w:hAnsi="Arial" w:cs="Arial"/>
          <w:i/>
        </w:rPr>
        <w:t>The funeral industry</w:t>
      </w:r>
    </w:p>
    <w:p w:rsidR="00933424" w:rsidRPr="00933424" w:rsidRDefault="00933424" w:rsidP="006A3249">
      <w:pPr>
        <w:rPr>
          <w:rFonts w:ascii="Arial" w:hAnsi="Arial" w:cs="Arial"/>
        </w:rPr>
      </w:pPr>
    </w:p>
    <w:p w:rsidR="00933424" w:rsidRPr="00933424" w:rsidRDefault="00933424" w:rsidP="006A3249">
      <w:pPr>
        <w:numPr>
          <w:ilvl w:val="0"/>
          <w:numId w:val="6"/>
        </w:numPr>
        <w:ind w:left="360"/>
        <w:rPr>
          <w:rFonts w:ascii="Arial" w:hAnsi="Arial" w:cs="Arial"/>
        </w:rPr>
      </w:pPr>
      <w:r w:rsidRPr="00933424">
        <w:rPr>
          <w:rFonts w:ascii="Arial" w:hAnsi="Arial" w:cs="Arial"/>
        </w:rPr>
        <w:t>There are estimated to be just less than 4,00</w:t>
      </w:r>
      <w:r w:rsidR="00896C97">
        <w:rPr>
          <w:rFonts w:ascii="Arial" w:hAnsi="Arial" w:cs="Arial"/>
        </w:rPr>
        <w:t xml:space="preserve">0 funeral directors </w:t>
      </w:r>
      <w:r w:rsidR="00941B25">
        <w:rPr>
          <w:rFonts w:ascii="Arial" w:hAnsi="Arial" w:cs="Arial"/>
        </w:rPr>
        <w:t xml:space="preserve">in the UK </w:t>
      </w:r>
      <w:r w:rsidR="00896C97">
        <w:rPr>
          <w:rFonts w:ascii="Arial" w:hAnsi="Arial" w:cs="Arial"/>
        </w:rPr>
        <w:t xml:space="preserve">at present </w:t>
      </w:r>
      <w:r w:rsidRPr="00933424">
        <w:rPr>
          <w:rFonts w:ascii="Arial" w:hAnsi="Arial" w:cs="Arial"/>
        </w:rPr>
        <w:t xml:space="preserve">offering services. The funeral market in the UK has two industry leaders, the Co-operative Group (CWS Ltd) and Dignity Funeral Services (Dignity Plc).  The Co-operative has over 675 branches across the UK and </w:t>
      </w:r>
      <w:r w:rsidR="00941B25" w:rsidRPr="00933424">
        <w:rPr>
          <w:rFonts w:ascii="Arial" w:hAnsi="Arial" w:cs="Arial"/>
        </w:rPr>
        <w:t>conducts</w:t>
      </w:r>
      <w:r w:rsidRPr="00933424">
        <w:rPr>
          <w:rFonts w:ascii="Arial" w:hAnsi="Arial" w:cs="Arial"/>
        </w:rPr>
        <w:t xml:space="preserve"> around 90,000 funerals per year.  </w:t>
      </w:r>
      <w:r w:rsidR="00941B25" w:rsidRPr="00933424">
        <w:rPr>
          <w:rFonts w:ascii="Arial" w:hAnsi="Arial" w:cs="Arial"/>
        </w:rPr>
        <w:t>Dignity has</w:t>
      </w:r>
      <w:r w:rsidRPr="00933424">
        <w:rPr>
          <w:rFonts w:ascii="Arial" w:hAnsi="Arial" w:cs="Arial"/>
        </w:rPr>
        <w:t xml:space="preserve"> just over 500 branches and conduct</w:t>
      </w:r>
      <w:r w:rsidR="00941B25">
        <w:rPr>
          <w:rFonts w:ascii="Arial" w:hAnsi="Arial" w:cs="Arial"/>
        </w:rPr>
        <w:t>s</w:t>
      </w:r>
      <w:r w:rsidRPr="00933424">
        <w:rPr>
          <w:rFonts w:ascii="Arial" w:hAnsi="Arial" w:cs="Arial"/>
        </w:rPr>
        <w:t xml:space="preserve"> 75,000 funerals a year.  Between these two companies, they are currently involved in over 25% of funerals in the UK. </w:t>
      </w:r>
    </w:p>
    <w:p w:rsidR="00933424" w:rsidRPr="00933424" w:rsidRDefault="00933424" w:rsidP="006A3249">
      <w:pPr>
        <w:rPr>
          <w:rFonts w:ascii="Arial" w:hAnsi="Arial" w:cs="Arial"/>
        </w:rPr>
      </w:pPr>
    </w:p>
    <w:p w:rsidR="00933424" w:rsidRPr="00B57B37" w:rsidRDefault="00933424" w:rsidP="006A3249">
      <w:pPr>
        <w:numPr>
          <w:ilvl w:val="0"/>
          <w:numId w:val="6"/>
        </w:numPr>
        <w:ind w:left="360"/>
        <w:rPr>
          <w:rFonts w:ascii="Arial" w:hAnsi="Arial" w:cs="Arial"/>
        </w:rPr>
      </w:pPr>
      <w:r w:rsidRPr="00B57B37">
        <w:rPr>
          <w:rFonts w:ascii="Arial" w:hAnsi="Arial" w:cs="Arial"/>
        </w:rPr>
        <w:t>In the UK there were 56</w:t>
      </w:r>
      <w:r w:rsidR="00896C97" w:rsidRPr="00B57B37">
        <w:rPr>
          <w:rFonts w:ascii="Arial" w:hAnsi="Arial" w:cs="Arial"/>
        </w:rPr>
        <w:t>9,024 registered deaths in 2012</w:t>
      </w:r>
      <w:r w:rsidRPr="00B57B37">
        <w:rPr>
          <w:rFonts w:ascii="Arial" w:hAnsi="Arial" w:cs="Arial"/>
        </w:rPr>
        <w:t>.</w:t>
      </w:r>
    </w:p>
    <w:p w:rsidR="00933424" w:rsidRPr="00933424" w:rsidRDefault="00933424" w:rsidP="006A3249">
      <w:pPr>
        <w:rPr>
          <w:rFonts w:ascii="Arial" w:hAnsi="Arial" w:cs="Arial"/>
        </w:rPr>
      </w:pPr>
    </w:p>
    <w:p w:rsidR="00933424" w:rsidRPr="00933424" w:rsidRDefault="00933424" w:rsidP="006A3249">
      <w:pPr>
        <w:numPr>
          <w:ilvl w:val="0"/>
          <w:numId w:val="6"/>
        </w:numPr>
        <w:ind w:left="360"/>
        <w:rPr>
          <w:rFonts w:ascii="Arial" w:hAnsi="Arial" w:cs="Arial"/>
        </w:rPr>
      </w:pPr>
      <w:r w:rsidRPr="00933424">
        <w:rPr>
          <w:rFonts w:ascii="Arial" w:hAnsi="Arial" w:cs="Arial"/>
        </w:rPr>
        <w:t xml:space="preserve">The majority of funeral directors are small to medium businesses.  There are several other large groups with a large number of funeral homes.  These are different Co-op Groups (mainly regional Co-ops).  There are also several privately owned companies who are conducting large numbers of funerals in the UK. </w:t>
      </w:r>
    </w:p>
    <w:p w:rsidR="00933424" w:rsidRPr="00933424" w:rsidRDefault="00933424" w:rsidP="006A3249">
      <w:pPr>
        <w:rPr>
          <w:rFonts w:ascii="Arial" w:hAnsi="Arial" w:cs="Arial"/>
        </w:rPr>
      </w:pPr>
    </w:p>
    <w:p w:rsidR="00933424" w:rsidRPr="00933424" w:rsidRDefault="00933424" w:rsidP="006A3249">
      <w:pPr>
        <w:numPr>
          <w:ilvl w:val="0"/>
          <w:numId w:val="6"/>
        </w:numPr>
        <w:ind w:left="360"/>
        <w:rPr>
          <w:rFonts w:ascii="Arial" w:hAnsi="Arial" w:cs="Arial"/>
        </w:rPr>
      </w:pPr>
      <w:r w:rsidRPr="00933424">
        <w:rPr>
          <w:rFonts w:ascii="Arial" w:hAnsi="Arial" w:cs="Arial"/>
        </w:rPr>
        <w:t>There are various trade associations with the vast majority of funeral homes being members of one or more.  These include the National Association of Funeral Directors (NAFD), the National Society of Allied and Independent Funeral Directors (SAIF) and The British Institute of Funeral Directors (BIFD).</w:t>
      </w:r>
    </w:p>
    <w:p w:rsidR="00933424" w:rsidRPr="00933424" w:rsidRDefault="00933424" w:rsidP="00933424">
      <w:pPr>
        <w:rPr>
          <w:rFonts w:ascii="Arial" w:hAnsi="Arial" w:cs="Arial"/>
        </w:rPr>
      </w:pPr>
    </w:p>
    <w:p w:rsidR="00933424" w:rsidRPr="00933424" w:rsidRDefault="00933424" w:rsidP="00933424">
      <w:pPr>
        <w:rPr>
          <w:rFonts w:ascii="Arial" w:hAnsi="Arial" w:cs="Arial"/>
          <w:b/>
        </w:rPr>
      </w:pPr>
      <w:r w:rsidRPr="00933424">
        <w:rPr>
          <w:rFonts w:ascii="Arial" w:hAnsi="Arial" w:cs="Arial"/>
          <w:b/>
        </w:rPr>
        <w:t>What is embalming?</w:t>
      </w:r>
    </w:p>
    <w:p w:rsidR="00933424" w:rsidRPr="00933424" w:rsidRDefault="00933424" w:rsidP="00933424">
      <w:pPr>
        <w:rPr>
          <w:rFonts w:ascii="Arial" w:hAnsi="Arial" w:cs="Arial"/>
        </w:rPr>
      </w:pPr>
    </w:p>
    <w:p w:rsidR="00933424" w:rsidRPr="00933424" w:rsidRDefault="00933424" w:rsidP="00AC6AE4">
      <w:pPr>
        <w:numPr>
          <w:ilvl w:val="0"/>
          <w:numId w:val="6"/>
        </w:numPr>
        <w:rPr>
          <w:rFonts w:ascii="Arial" w:hAnsi="Arial" w:cs="Arial"/>
        </w:rPr>
      </w:pPr>
      <w:r w:rsidRPr="00933424">
        <w:rPr>
          <w:rFonts w:ascii="Arial" w:hAnsi="Arial" w:cs="Arial"/>
        </w:rPr>
        <w:t xml:space="preserve">Embalming is the practice of temporarily preserving human remains to prevent decomposition and make them suitable for viewing.  </w:t>
      </w:r>
      <w:r w:rsidR="004F61A4" w:rsidRPr="004F61A4">
        <w:rPr>
          <w:rFonts w:ascii="Arial" w:hAnsi="Arial" w:cs="Arial"/>
        </w:rPr>
        <w:t>The body can also be embalmed for medical purposes</w:t>
      </w:r>
      <w:r w:rsidR="004F61A4">
        <w:rPr>
          <w:rFonts w:ascii="Arial" w:hAnsi="Arial" w:cs="Arial"/>
        </w:rPr>
        <w:t>.</w:t>
      </w:r>
      <w:r w:rsidR="004F61A4" w:rsidRPr="004F61A4">
        <w:rPr>
          <w:rFonts w:ascii="Arial" w:hAnsi="Arial" w:cs="Arial"/>
        </w:rPr>
        <w:t xml:space="preserve"> </w:t>
      </w:r>
      <w:r w:rsidR="00931FCF">
        <w:rPr>
          <w:rFonts w:ascii="Arial" w:hAnsi="Arial" w:cs="Arial"/>
        </w:rPr>
        <w:t>This involves removing blood from the body and replacing with embalming fluid</w:t>
      </w:r>
      <w:r w:rsidRPr="00933424">
        <w:rPr>
          <w:rFonts w:ascii="Arial" w:hAnsi="Arial" w:cs="Arial"/>
        </w:rPr>
        <w:t xml:space="preserve">.  </w:t>
      </w:r>
    </w:p>
    <w:p w:rsidR="00933424" w:rsidRPr="00933424" w:rsidRDefault="00933424" w:rsidP="006A3249">
      <w:pPr>
        <w:rPr>
          <w:rFonts w:ascii="Arial" w:hAnsi="Arial" w:cs="Arial"/>
        </w:rPr>
      </w:pPr>
    </w:p>
    <w:p w:rsidR="00933424" w:rsidRPr="00933424" w:rsidRDefault="00933424" w:rsidP="006A3249">
      <w:pPr>
        <w:numPr>
          <w:ilvl w:val="0"/>
          <w:numId w:val="6"/>
        </w:numPr>
        <w:ind w:left="360"/>
        <w:rPr>
          <w:rFonts w:ascii="Arial" w:hAnsi="Arial" w:cs="Arial"/>
        </w:rPr>
      </w:pPr>
      <w:r w:rsidRPr="00933424">
        <w:rPr>
          <w:rFonts w:ascii="Arial" w:hAnsi="Arial" w:cs="Arial"/>
        </w:rPr>
        <w:t xml:space="preserve">The roles of a funeral director and embalmer are different.  A funeral director is the person who arranges the final disposition of the deceased and who may or may not prepare (including embalming) the deceased for viewing, or other legal requirements.  An embalmer is someone who has been trained in the practice of embalming and may not have contact with the family, although many people fill both roles.  </w:t>
      </w:r>
    </w:p>
    <w:p w:rsidR="00933424" w:rsidRPr="00933424" w:rsidRDefault="00933424" w:rsidP="006A3249">
      <w:pPr>
        <w:rPr>
          <w:rFonts w:ascii="Arial" w:hAnsi="Arial" w:cs="Arial"/>
        </w:rPr>
      </w:pPr>
    </w:p>
    <w:p w:rsidR="00933424" w:rsidRPr="00933424" w:rsidRDefault="00896C97" w:rsidP="006A3249">
      <w:pPr>
        <w:numPr>
          <w:ilvl w:val="0"/>
          <w:numId w:val="6"/>
        </w:numPr>
        <w:ind w:left="360"/>
        <w:rPr>
          <w:rFonts w:ascii="Arial" w:hAnsi="Arial" w:cs="Arial"/>
        </w:rPr>
      </w:pPr>
      <w:r>
        <w:rPr>
          <w:rFonts w:ascii="Arial" w:hAnsi="Arial" w:cs="Arial"/>
        </w:rPr>
        <w:t xml:space="preserve">There are approximately 1100 </w:t>
      </w:r>
      <w:r w:rsidR="00933424" w:rsidRPr="00933424">
        <w:rPr>
          <w:rFonts w:ascii="Arial" w:hAnsi="Arial" w:cs="Arial"/>
        </w:rPr>
        <w:t xml:space="preserve">embalmers </w:t>
      </w:r>
      <w:r>
        <w:rPr>
          <w:rFonts w:ascii="Arial" w:hAnsi="Arial" w:cs="Arial"/>
        </w:rPr>
        <w:t xml:space="preserve">currently </w:t>
      </w:r>
      <w:r w:rsidR="00933424" w:rsidRPr="00933424">
        <w:rPr>
          <w:rFonts w:ascii="Arial" w:hAnsi="Arial" w:cs="Arial"/>
        </w:rPr>
        <w:t xml:space="preserve">registered with the British Institute of Embalming (BIE).  Membership to the BIE is awarded when an individual successfully completes a theoretical and practical examination.  There are also a number of embalmers who are not registered with the BIE.  </w:t>
      </w:r>
    </w:p>
    <w:p w:rsidR="00933424" w:rsidRPr="00933424" w:rsidRDefault="00933424" w:rsidP="006A3249">
      <w:pPr>
        <w:rPr>
          <w:rFonts w:ascii="Arial" w:hAnsi="Arial" w:cs="Arial"/>
        </w:rPr>
      </w:pPr>
    </w:p>
    <w:p w:rsidR="00933424" w:rsidRPr="00933424" w:rsidRDefault="00933424" w:rsidP="006A3249">
      <w:pPr>
        <w:numPr>
          <w:ilvl w:val="0"/>
          <w:numId w:val="6"/>
        </w:numPr>
        <w:ind w:left="360"/>
        <w:rPr>
          <w:rFonts w:ascii="Arial" w:hAnsi="Arial" w:cs="Arial"/>
        </w:rPr>
      </w:pPr>
      <w:r w:rsidRPr="00933424">
        <w:rPr>
          <w:rFonts w:ascii="Arial" w:hAnsi="Arial" w:cs="Arial"/>
        </w:rPr>
        <w:t>Based on interviews with industry, HSE estimate that ea</w:t>
      </w:r>
      <w:r w:rsidR="00896C97">
        <w:rPr>
          <w:rFonts w:ascii="Arial" w:hAnsi="Arial" w:cs="Arial"/>
        </w:rPr>
        <w:t>ch year the number of embalming procedures carried out</w:t>
      </w:r>
      <w:r w:rsidRPr="00933424">
        <w:rPr>
          <w:rFonts w:ascii="Arial" w:hAnsi="Arial" w:cs="Arial"/>
        </w:rPr>
        <w:t xml:space="preserve"> might be between around 110 thousand and 250 thousand. </w:t>
      </w:r>
    </w:p>
    <w:p w:rsidR="00933424" w:rsidRPr="00933424" w:rsidRDefault="00933424" w:rsidP="006A3249">
      <w:pPr>
        <w:rPr>
          <w:rFonts w:ascii="Arial" w:hAnsi="Arial" w:cs="Arial"/>
        </w:rPr>
      </w:pPr>
    </w:p>
    <w:p w:rsidR="00933424" w:rsidRPr="00933424" w:rsidRDefault="00933424" w:rsidP="006A3249">
      <w:pPr>
        <w:numPr>
          <w:ilvl w:val="0"/>
          <w:numId w:val="6"/>
        </w:numPr>
        <w:ind w:left="360"/>
        <w:rPr>
          <w:rFonts w:ascii="Arial" w:hAnsi="Arial" w:cs="Arial"/>
        </w:rPr>
      </w:pPr>
      <w:r w:rsidRPr="00933424">
        <w:rPr>
          <w:rFonts w:ascii="Arial" w:hAnsi="Arial" w:cs="Arial"/>
        </w:rPr>
        <w:t>A survey in October 2013 with the funeral industry suggested that the number of bodies embalmed varies depending on a number of factors including:</w:t>
      </w:r>
    </w:p>
    <w:p w:rsidR="00933424" w:rsidRPr="00933424" w:rsidRDefault="00933424" w:rsidP="006A3249">
      <w:pPr>
        <w:numPr>
          <w:ilvl w:val="0"/>
          <w:numId w:val="16"/>
        </w:numPr>
        <w:ind w:left="720"/>
        <w:rPr>
          <w:rFonts w:ascii="Arial" w:hAnsi="Arial" w:cs="Arial"/>
        </w:rPr>
      </w:pPr>
      <w:r w:rsidRPr="00933424">
        <w:rPr>
          <w:rFonts w:ascii="Arial" w:hAnsi="Arial" w:cs="Arial"/>
        </w:rPr>
        <w:t xml:space="preserve">whether or not a post mortem has been performed; </w:t>
      </w:r>
    </w:p>
    <w:p w:rsidR="00933424" w:rsidRPr="00933424" w:rsidRDefault="00933424" w:rsidP="006A3249">
      <w:pPr>
        <w:numPr>
          <w:ilvl w:val="0"/>
          <w:numId w:val="16"/>
        </w:numPr>
        <w:ind w:left="720"/>
        <w:rPr>
          <w:rFonts w:ascii="Arial" w:hAnsi="Arial" w:cs="Arial"/>
        </w:rPr>
      </w:pPr>
      <w:r w:rsidRPr="00933424">
        <w:rPr>
          <w:rFonts w:ascii="Arial" w:hAnsi="Arial" w:cs="Arial"/>
        </w:rPr>
        <w:t>religion of the deceased person or their family;</w:t>
      </w:r>
    </w:p>
    <w:p w:rsidR="00933424" w:rsidRPr="00933424" w:rsidRDefault="00933424" w:rsidP="006A3249">
      <w:pPr>
        <w:numPr>
          <w:ilvl w:val="0"/>
          <w:numId w:val="16"/>
        </w:numPr>
        <w:ind w:left="720"/>
        <w:rPr>
          <w:rFonts w:ascii="Arial" w:hAnsi="Arial" w:cs="Arial"/>
        </w:rPr>
      </w:pPr>
      <w:r w:rsidRPr="00933424">
        <w:rPr>
          <w:rFonts w:ascii="Arial" w:hAnsi="Arial" w:cs="Arial"/>
        </w:rPr>
        <w:t>length of time from death to funeral;</w:t>
      </w:r>
    </w:p>
    <w:p w:rsidR="00933424" w:rsidRPr="00933424" w:rsidRDefault="00933424" w:rsidP="006A3249">
      <w:pPr>
        <w:numPr>
          <w:ilvl w:val="0"/>
          <w:numId w:val="16"/>
        </w:numPr>
        <w:ind w:left="720"/>
        <w:rPr>
          <w:rFonts w:ascii="Arial" w:hAnsi="Arial" w:cs="Arial"/>
        </w:rPr>
      </w:pPr>
      <w:r w:rsidRPr="00933424">
        <w:rPr>
          <w:rFonts w:ascii="Arial" w:hAnsi="Arial" w:cs="Arial"/>
        </w:rPr>
        <w:t>whether or not the family intend to view the deceased prior to the funeral;</w:t>
      </w:r>
    </w:p>
    <w:p w:rsidR="00933424" w:rsidRPr="00933424" w:rsidRDefault="00933424" w:rsidP="006A3249">
      <w:pPr>
        <w:numPr>
          <w:ilvl w:val="0"/>
          <w:numId w:val="16"/>
        </w:numPr>
        <w:ind w:left="720"/>
        <w:rPr>
          <w:rFonts w:ascii="Arial" w:hAnsi="Arial" w:cs="Arial"/>
        </w:rPr>
      </w:pPr>
      <w:r w:rsidRPr="00933424">
        <w:rPr>
          <w:rFonts w:ascii="Arial" w:hAnsi="Arial" w:cs="Arial"/>
        </w:rPr>
        <w:t>whether there is an infection that will prevent viewing or safe embalming;</w:t>
      </w:r>
    </w:p>
    <w:p w:rsidR="00933424" w:rsidRPr="00933424" w:rsidRDefault="00933424" w:rsidP="006A3249">
      <w:pPr>
        <w:numPr>
          <w:ilvl w:val="0"/>
          <w:numId w:val="16"/>
        </w:numPr>
        <w:ind w:left="720"/>
        <w:rPr>
          <w:rFonts w:ascii="Arial" w:hAnsi="Arial" w:cs="Arial"/>
        </w:rPr>
      </w:pPr>
      <w:r w:rsidRPr="00933424">
        <w:rPr>
          <w:rFonts w:ascii="Arial" w:hAnsi="Arial" w:cs="Arial"/>
        </w:rPr>
        <w:t>length of time between death and the funeral director receiving the deceased person;</w:t>
      </w:r>
    </w:p>
    <w:p w:rsidR="00933424" w:rsidRPr="00933424" w:rsidRDefault="00933424" w:rsidP="006A3249">
      <w:pPr>
        <w:numPr>
          <w:ilvl w:val="0"/>
          <w:numId w:val="16"/>
        </w:numPr>
        <w:ind w:left="720"/>
        <w:rPr>
          <w:rFonts w:ascii="Arial" w:hAnsi="Arial" w:cs="Arial"/>
        </w:rPr>
      </w:pPr>
      <w:proofErr w:type="gramStart"/>
      <w:r w:rsidRPr="00933424">
        <w:rPr>
          <w:rFonts w:ascii="Arial" w:hAnsi="Arial" w:cs="Arial"/>
        </w:rPr>
        <w:t>how</w:t>
      </w:r>
      <w:proofErr w:type="gramEnd"/>
      <w:r w:rsidRPr="00933424">
        <w:rPr>
          <w:rFonts w:ascii="Arial" w:hAnsi="Arial" w:cs="Arial"/>
        </w:rPr>
        <w:t xml:space="preserve"> the deceased person has been stored prior to receipt by the funeral director.</w:t>
      </w:r>
    </w:p>
    <w:p w:rsidR="00933424" w:rsidRPr="00933424" w:rsidRDefault="00933424" w:rsidP="00933424">
      <w:pPr>
        <w:rPr>
          <w:rFonts w:ascii="Arial" w:hAnsi="Arial" w:cs="Arial"/>
        </w:rPr>
      </w:pPr>
    </w:p>
    <w:p w:rsidR="00933424" w:rsidRPr="00933424" w:rsidRDefault="00933424" w:rsidP="00933424">
      <w:pPr>
        <w:rPr>
          <w:rFonts w:ascii="Arial" w:hAnsi="Arial" w:cs="Arial"/>
          <w:i/>
        </w:rPr>
      </w:pPr>
      <w:r w:rsidRPr="00933424">
        <w:rPr>
          <w:rFonts w:ascii="Arial" w:hAnsi="Arial" w:cs="Arial"/>
          <w:i/>
        </w:rPr>
        <w:t xml:space="preserve">Mortuary and post mortem rooms </w:t>
      </w:r>
    </w:p>
    <w:p w:rsidR="00933424" w:rsidRPr="00933424" w:rsidRDefault="00933424" w:rsidP="00933424">
      <w:pPr>
        <w:rPr>
          <w:rFonts w:ascii="Arial" w:hAnsi="Arial" w:cs="Arial"/>
        </w:rPr>
      </w:pPr>
    </w:p>
    <w:p w:rsidR="00933424" w:rsidRPr="00933424" w:rsidRDefault="00933424" w:rsidP="006A3249">
      <w:pPr>
        <w:numPr>
          <w:ilvl w:val="0"/>
          <w:numId w:val="6"/>
        </w:numPr>
        <w:ind w:left="360"/>
        <w:rPr>
          <w:rFonts w:ascii="Arial" w:hAnsi="Arial" w:cs="Arial"/>
        </w:rPr>
      </w:pPr>
      <w:r w:rsidRPr="00933424">
        <w:rPr>
          <w:rFonts w:ascii="Arial" w:hAnsi="Arial" w:cs="Arial"/>
        </w:rPr>
        <w:t>There are currently 229 mortuaries in the UK with post mortem rooms.  29 of these are public mortuaries.  Across the UK there are approximately 700 people employed as Anatomical Pathology Technologists (APTs). According to the interviews conducted by HSE all APTs have been trained in post mortems</w:t>
      </w:r>
      <w:r w:rsidR="00896C97">
        <w:rPr>
          <w:rFonts w:ascii="Arial" w:hAnsi="Arial" w:cs="Arial"/>
        </w:rPr>
        <w:t xml:space="preserve"> which present an increased risk of infection (</w:t>
      </w:r>
      <w:proofErr w:type="spellStart"/>
      <w:r w:rsidR="00896C97">
        <w:rPr>
          <w:rFonts w:ascii="Arial" w:hAnsi="Arial" w:cs="Arial"/>
        </w:rPr>
        <w:t>ie</w:t>
      </w:r>
      <w:proofErr w:type="spellEnd"/>
      <w:r w:rsidR="00896C97">
        <w:rPr>
          <w:rFonts w:ascii="Arial" w:hAnsi="Arial" w:cs="Arial"/>
        </w:rPr>
        <w:t xml:space="preserve"> on the deceased with HG3 </w:t>
      </w:r>
      <w:r w:rsidR="00DB6B4D">
        <w:rPr>
          <w:rFonts w:ascii="Arial" w:hAnsi="Arial" w:cs="Arial"/>
        </w:rPr>
        <w:t>BBVs</w:t>
      </w:r>
      <w:r w:rsidR="00896C97">
        <w:rPr>
          <w:rFonts w:ascii="Arial" w:hAnsi="Arial" w:cs="Arial"/>
        </w:rPr>
        <w:t xml:space="preserve"> present)</w:t>
      </w:r>
      <w:r w:rsidRPr="00933424">
        <w:rPr>
          <w:rFonts w:ascii="Arial" w:hAnsi="Arial" w:cs="Arial"/>
        </w:rPr>
        <w:t>.</w:t>
      </w:r>
    </w:p>
    <w:p w:rsidR="00933424" w:rsidRPr="00933424" w:rsidRDefault="00933424" w:rsidP="006A3249">
      <w:pPr>
        <w:rPr>
          <w:rFonts w:ascii="Arial" w:hAnsi="Arial" w:cs="Arial"/>
        </w:rPr>
      </w:pPr>
    </w:p>
    <w:p w:rsidR="00933424" w:rsidRPr="00933424" w:rsidRDefault="00933424" w:rsidP="006A3249">
      <w:pPr>
        <w:numPr>
          <w:ilvl w:val="0"/>
          <w:numId w:val="6"/>
        </w:numPr>
        <w:ind w:left="360"/>
        <w:rPr>
          <w:rFonts w:ascii="Arial" w:hAnsi="Arial" w:cs="Arial"/>
        </w:rPr>
      </w:pPr>
      <w:r w:rsidRPr="00933424">
        <w:rPr>
          <w:rFonts w:ascii="Arial" w:hAnsi="Arial" w:cs="Arial"/>
        </w:rPr>
        <w:t xml:space="preserve">Approximately 118,000 post mortems are carried out each year.  </w:t>
      </w:r>
    </w:p>
    <w:p w:rsidR="00933424" w:rsidRPr="00933424" w:rsidRDefault="00933424" w:rsidP="00933424">
      <w:pPr>
        <w:rPr>
          <w:rFonts w:ascii="Arial" w:hAnsi="Arial" w:cs="Arial"/>
        </w:rPr>
      </w:pPr>
    </w:p>
    <w:p w:rsidR="00933424" w:rsidRPr="00933424" w:rsidRDefault="00933424" w:rsidP="00933424">
      <w:pPr>
        <w:rPr>
          <w:rFonts w:ascii="Arial" w:hAnsi="Arial" w:cs="Arial"/>
          <w:b/>
        </w:rPr>
      </w:pPr>
      <w:r w:rsidRPr="00933424">
        <w:rPr>
          <w:rFonts w:ascii="Arial" w:hAnsi="Arial" w:cs="Arial"/>
          <w:b/>
        </w:rPr>
        <w:t>What is a post mortem?</w:t>
      </w:r>
    </w:p>
    <w:p w:rsidR="00933424" w:rsidRPr="00933424" w:rsidRDefault="00933424" w:rsidP="00933424">
      <w:pPr>
        <w:rPr>
          <w:rFonts w:ascii="Arial" w:hAnsi="Arial" w:cs="Arial"/>
        </w:rPr>
      </w:pPr>
    </w:p>
    <w:p w:rsidR="00933424" w:rsidRPr="00933424" w:rsidRDefault="00933424" w:rsidP="006A3249">
      <w:pPr>
        <w:numPr>
          <w:ilvl w:val="0"/>
          <w:numId w:val="6"/>
        </w:numPr>
        <w:ind w:left="360"/>
        <w:rPr>
          <w:rFonts w:ascii="Arial" w:hAnsi="Arial" w:cs="Arial"/>
        </w:rPr>
      </w:pPr>
      <w:r w:rsidRPr="00933424">
        <w:rPr>
          <w:rFonts w:ascii="Arial" w:hAnsi="Arial" w:cs="Arial"/>
        </w:rPr>
        <w:t xml:space="preserve">A post mortem (also known as an autopsy) is an examination to establish the cause of death and is carried out by pathologists, who are doctors who specialise in understanding the nature and cause of diseases.  The Royal College of Pathologists and the Human Tissue Authority set standards that pathologists work to.  Post mortems provide useful information about the circumstances in which someone died, and they enable pathologists to obtain a better understanding of how diseases spread.  </w:t>
      </w:r>
    </w:p>
    <w:p w:rsidR="00933424" w:rsidRPr="00933424" w:rsidRDefault="00933424" w:rsidP="006A3249">
      <w:pPr>
        <w:rPr>
          <w:rFonts w:ascii="Arial" w:hAnsi="Arial" w:cs="Arial"/>
        </w:rPr>
      </w:pPr>
    </w:p>
    <w:p w:rsidR="00933424" w:rsidRPr="00933424" w:rsidRDefault="00933424" w:rsidP="006A3249">
      <w:pPr>
        <w:numPr>
          <w:ilvl w:val="0"/>
          <w:numId w:val="6"/>
        </w:numPr>
        <w:ind w:left="360"/>
        <w:rPr>
          <w:rFonts w:ascii="Arial" w:hAnsi="Arial" w:cs="Arial"/>
        </w:rPr>
      </w:pPr>
      <w:r w:rsidRPr="00933424">
        <w:rPr>
          <w:rFonts w:ascii="Arial" w:hAnsi="Arial" w:cs="Arial"/>
        </w:rPr>
        <w:t>A post-mortem examination will be carried out if it has been requested by:</w:t>
      </w:r>
    </w:p>
    <w:p w:rsidR="00933424" w:rsidRPr="00933424" w:rsidRDefault="00933424" w:rsidP="006A3249">
      <w:pPr>
        <w:numPr>
          <w:ilvl w:val="0"/>
          <w:numId w:val="19"/>
        </w:numPr>
        <w:ind w:left="720"/>
        <w:rPr>
          <w:rFonts w:ascii="Arial" w:hAnsi="Arial" w:cs="Arial"/>
        </w:rPr>
      </w:pPr>
      <w:r w:rsidRPr="00933424">
        <w:rPr>
          <w:rFonts w:ascii="Arial" w:hAnsi="Arial" w:cs="Arial"/>
        </w:rPr>
        <w:t>A coroner, because the cause of death is unknown, or following a sudden, violent or unexpected death</w:t>
      </w:r>
    </w:p>
    <w:p w:rsidR="00933424" w:rsidRPr="00933424" w:rsidRDefault="00933424" w:rsidP="006A3249">
      <w:pPr>
        <w:numPr>
          <w:ilvl w:val="0"/>
          <w:numId w:val="19"/>
        </w:numPr>
        <w:ind w:left="720"/>
        <w:rPr>
          <w:rFonts w:ascii="Arial" w:hAnsi="Arial" w:cs="Arial"/>
        </w:rPr>
      </w:pPr>
      <w:r w:rsidRPr="00933424">
        <w:rPr>
          <w:rFonts w:ascii="Arial" w:hAnsi="Arial" w:cs="Arial"/>
        </w:rPr>
        <w:t>A hospital doctor, to find out more about the illness or the cause of death, or to further medical research and understanding.</w:t>
      </w:r>
    </w:p>
    <w:p w:rsidR="00933424" w:rsidRPr="00933424" w:rsidRDefault="00933424" w:rsidP="00933424">
      <w:pPr>
        <w:rPr>
          <w:rFonts w:ascii="Arial" w:hAnsi="Arial" w:cs="Arial"/>
        </w:rPr>
      </w:pPr>
    </w:p>
    <w:p w:rsidR="00933424" w:rsidRPr="00933424" w:rsidRDefault="00933424" w:rsidP="00933424">
      <w:pPr>
        <w:rPr>
          <w:rFonts w:ascii="Arial" w:hAnsi="Arial" w:cs="Arial"/>
          <w:b/>
        </w:rPr>
      </w:pPr>
      <w:r w:rsidRPr="00933424">
        <w:rPr>
          <w:rFonts w:ascii="Arial" w:hAnsi="Arial" w:cs="Arial"/>
          <w:b/>
        </w:rPr>
        <w:t>Monetised and non-monetised costs and benefits of each option</w:t>
      </w:r>
    </w:p>
    <w:p w:rsidR="00933424" w:rsidRPr="00933424" w:rsidRDefault="00933424" w:rsidP="00933424">
      <w:pPr>
        <w:rPr>
          <w:rFonts w:ascii="Arial" w:hAnsi="Arial" w:cs="Arial"/>
        </w:rPr>
      </w:pPr>
    </w:p>
    <w:p w:rsidR="00933424" w:rsidRPr="00933424" w:rsidRDefault="00933424" w:rsidP="00933424">
      <w:pPr>
        <w:rPr>
          <w:rFonts w:ascii="Arial" w:hAnsi="Arial" w:cs="Arial"/>
          <w:b/>
        </w:rPr>
      </w:pPr>
      <w:r w:rsidRPr="00933424">
        <w:rPr>
          <w:rFonts w:ascii="Arial" w:hAnsi="Arial" w:cs="Arial"/>
          <w:b/>
        </w:rPr>
        <w:t>Option 1</w:t>
      </w:r>
    </w:p>
    <w:p w:rsidR="00933424" w:rsidRPr="00933424" w:rsidRDefault="00933424" w:rsidP="00933424">
      <w:pPr>
        <w:rPr>
          <w:rFonts w:ascii="Arial" w:hAnsi="Arial" w:cs="Arial"/>
        </w:rPr>
      </w:pPr>
    </w:p>
    <w:p w:rsidR="00933424" w:rsidRPr="00933424" w:rsidRDefault="00933424" w:rsidP="006A3249">
      <w:pPr>
        <w:numPr>
          <w:ilvl w:val="0"/>
          <w:numId w:val="6"/>
        </w:numPr>
        <w:ind w:left="360"/>
        <w:rPr>
          <w:rFonts w:ascii="Arial" w:hAnsi="Arial" w:cs="Arial"/>
        </w:rPr>
      </w:pPr>
      <w:r w:rsidRPr="00933424">
        <w:rPr>
          <w:rFonts w:ascii="Arial" w:hAnsi="Arial" w:cs="Arial"/>
        </w:rPr>
        <w:t xml:space="preserve">This option assumes that the status quo continues, and is the baseline against which Options 2 and 3 are measured.  As a consequence, there are no additional costs or benefits associated with Option 1.  </w:t>
      </w:r>
    </w:p>
    <w:p w:rsidR="006A3249" w:rsidRDefault="006A3249" w:rsidP="006A3249">
      <w:pPr>
        <w:rPr>
          <w:rFonts w:ascii="Arial" w:hAnsi="Arial" w:cs="Arial"/>
        </w:rPr>
      </w:pPr>
    </w:p>
    <w:p w:rsidR="00933424" w:rsidRPr="00933424" w:rsidRDefault="00933424" w:rsidP="006A3249">
      <w:pPr>
        <w:ind w:left="-360" w:firstLine="360"/>
        <w:rPr>
          <w:rFonts w:ascii="Arial" w:hAnsi="Arial" w:cs="Arial"/>
          <w:b/>
        </w:rPr>
      </w:pPr>
      <w:r w:rsidRPr="00933424">
        <w:rPr>
          <w:rFonts w:ascii="Arial" w:hAnsi="Arial" w:cs="Arial"/>
          <w:b/>
        </w:rPr>
        <w:t>Option 2</w:t>
      </w:r>
    </w:p>
    <w:p w:rsidR="00933424" w:rsidRPr="00933424" w:rsidRDefault="00933424" w:rsidP="006A3249">
      <w:pPr>
        <w:rPr>
          <w:rFonts w:ascii="Arial" w:hAnsi="Arial" w:cs="Arial"/>
        </w:rPr>
      </w:pPr>
    </w:p>
    <w:p w:rsidR="00933424" w:rsidRPr="00980DE2" w:rsidRDefault="00931FCF" w:rsidP="006A3249">
      <w:pPr>
        <w:numPr>
          <w:ilvl w:val="0"/>
          <w:numId w:val="6"/>
        </w:numPr>
        <w:ind w:left="360"/>
        <w:rPr>
          <w:rFonts w:ascii="Arial" w:hAnsi="Arial" w:cs="Arial"/>
        </w:rPr>
      </w:pPr>
      <w:r>
        <w:rPr>
          <w:rFonts w:ascii="Arial" w:hAnsi="Arial" w:cs="Arial"/>
        </w:rPr>
        <w:t xml:space="preserve">Whilst this option will address the issues around exchange of information for contiguous processes and will be able to take account of changes in wording practices, </w:t>
      </w:r>
      <w:r w:rsidR="004F61A4">
        <w:rPr>
          <w:rFonts w:ascii="Arial" w:hAnsi="Arial" w:cs="Arial"/>
        </w:rPr>
        <w:t>t</w:t>
      </w:r>
      <w:r w:rsidR="00933424" w:rsidRPr="00980DE2">
        <w:rPr>
          <w:rFonts w:ascii="Arial" w:hAnsi="Arial" w:cs="Arial"/>
        </w:rPr>
        <w:t xml:space="preserve">his option is </w:t>
      </w:r>
      <w:r w:rsidR="00933424" w:rsidRPr="00980DE2">
        <w:rPr>
          <w:rFonts w:ascii="Arial" w:hAnsi="Arial" w:cs="Arial"/>
          <w:b/>
        </w:rPr>
        <w:t xml:space="preserve">not </w:t>
      </w:r>
      <w:r w:rsidR="00933424" w:rsidRPr="00980DE2">
        <w:rPr>
          <w:rFonts w:ascii="Arial" w:hAnsi="Arial" w:cs="Arial"/>
        </w:rPr>
        <w:t xml:space="preserve">favoured as </w:t>
      </w:r>
      <w:r w:rsidR="00926912" w:rsidRPr="00980DE2">
        <w:rPr>
          <w:rFonts w:ascii="Arial" w:hAnsi="Arial" w:cs="Arial"/>
        </w:rPr>
        <w:t>it does not address the need to align safe working practices for procedures that p</w:t>
      </w:r>
      <w:r w:rsidR="00980DE2" w:rsidRPr="00980DE2">
        <w:rPr>
          <w:rFonts w:ascii="Arial" w:hAnsi="Arial" w:cs="Arial"/>
        </w:rPr>
        <w:t>resent the same exposure risks.</w:t>
      </w:r>
      <w:r w:rsidR="00926912" w:rsidRPr="00980DE2">
        <w:rPr>
          <w:rFonts w:ascii="Arial" w:hAnsi="Arial" w:cs="Arial"/>
        </w:rPr>
        <w:t xml:space="preserve">  </w:t>
      </w:r>
      <w:r w:rsidR="00933424" w:rsidRPr="00980DE2">
        <w:rPr>
          <w:rFonts w:ascii="Arial" w:hAnsi="Arial" w:cs="Arial"/>
        </w:rPr>
        <w:t xml:space="preserve">This would be a missed opportunity to use knowledge and expertise from both industries to consider the risks and control measures required to manage the risks effectively. </w:t>
      </w:r>
    </w:p>
    <w:p w:rsidR="00933424" w:rsidRPr="00933424" w:rsidRDefault="00933424" w:rsidP="00933424">
      <w:pPr>
        <w:rPr>
          <w:rFonts w:ascii="Arial" w:hAnsi="Arial" w:cs="Arial"/>
        </w:rPr>
      </w:pPr>
    </w:p>
    <w:p w:rsidR="00933424" w:rsidRPr="00933424" w:rsidRDefault="00933424" w:rsidP="00933424">
      <w:pPr>
        <w:rPr>
          <w:rFonts w:ascii="Arial" w:hAnsi="Arial" w:cs="Arial"/>
          <w:b/>
        </w:rPr>
      </w:pPr>
      <w:r w:rsidRPr="00933424">
        <w:rPr>
          <w:rFonts w:ascii="Arial" w:hAnsi="Arial" w:cs="Arial"/>
          <w:b/>
        </w:rPr>
        <w:t>Familiarisation</w:t>
      </w:r>
    </w:p>
    <w:p w:rsidR="00933424" w:rsidRPr="00933424" w:rsidRDefault="00933424" w:rsidP="006A3249">
      <w:pPr>
        <w:rPr>
          <w:rFonts w:ascii="Arial" w:hAnsi="Arial" w:cs="Arial"/>
        </w:rPr>
      </w:pPr>
    </w:p>
    <w:p w:rsidR="00933424" w:rsidRPr="00933424" w:rsidRDefault="00933424" w:rsidP="006A3249">
      <w:pPr>
        <w:numPr>
          <w:ilvl w:val="0"/>
          <w:numId w:val="6"/>
        </w:numPr>
        <w:ind w:left="360"/>
        <w:rPr>
          <w:rFonts w:ascii="Arial" w:hAnsi="Arial" w:cs="Arial"/>
        </w:rPr>
      </w:pPr>
      <w:r w:rsidRPr="00933424">
        <w:rPr>
          <w:rFonts w:ascii="Arial" w:hAnsi="Arial" w:cs="Arial"/>
        </w:rPr>
        <w:t xml:space="preserve">Under Option 2, it is expected that the funeral sector will </w:t>
      </w:r>
      <w:r w:rsidR="00B57B37">
        <w:rPr>
          <w:rFonts w:ascii="Arial" w:hAnsi="Arial" w:cs="Arial"/>
        </w:rPr>
        <w:t>spend minimal</w:t>
      </w:r>
      <w:r w:rsidRPr="00933424">
        <w:rPr>
          <w:rFonts w:ascii="Arial" w:hAnsi="Arial" w:cs="Arial"/>
        </w:rPr>
        <w:t xml:space="preserve"> time familiarising </w:t>
      </w:r>
      <w:r w:rsidR="00DB6B4D">
        <w:rPr>
          <w:rFonts w:ascii="Arial" w:hAnsi="Arial" w:cs="Arial"/>
        </w:rPr>
        <w:t xml:space="preserve">themselves </w:t>
      </w:r>
      <w:r w:rsidRPr="00933424">
        <w:rPr>
          <w:rFonts w:ascii="Arial" w:hAnsi="Arial" w:cs="Arial"/>
        </w:rPr>
        <w:t xml:space="preserve">with the </w:t>
      </w:r>
      <w:r w:rsidR="00DB6B4D">
        <w:rPr>
          <w:rFonts w:ascii="Arial" w:hAnsi="Arial" w:cs="Arial"/>
        </w:rPr>
        <w:t>revised guidance</w:t>
      </w:r>
      <w:r w:rsidR="00B57B37">
        <w:rPr>
          <w:rFonts w:ascii="Arial" w:hAnsi="Arial" w:cs="Arial"/>
        </w:rPr>
        <w:t xml:space="preserve"> as there will be very few</w:t>
      </w:r>
      <w:r w:rsidRPr="00933424">
        <w:rPr>
          <w:rFonts w:ascii="Arial" w:hAnsi="Arial" w:cs="Arial"/>
        </w:rPr>
        <w:t xml:space="preserve"> changes relevant to their operations. Therefore, this is assumed to be accounted for as part of referring to guidance or training on an ongoing basis and so imposes no additional cost on the funeral sector.</w:t>
      </w:r>
    </w:p>
    <w:p w:rsidR="00933424" w:rsidRPr="00933424" w:rsidRDefault="00933424" w:rsidP="006A3249">
      <w:pPr>
        <w:rPr>
          <w:rFonts w:ascii="Arial" w:hAnsi="Arial" w:cs="Arial"/>
        </w:rPr>
      </w:pPr>
    </w:p>
    <w:p w:rsidR="00933424" w:rsidRPr="00933424" w:rsidRDefault="00933424" w:rsidP="006A3249">
      <w:pPr>
        <w:numPr>
          <w:ilvl w:val="0"/>
          <w:numId w:val="6"/>
        </w:numPr>
        <w:ind w:left="360"/>
        <w:rPr>
          <w:rFonts w:ascii="Arial" w:hAnsi="Arial" w:cs="Arial"/>
        </w:rPr>
      </w:pPr>
      <w:r w:rsidRPr="00933424">
        <w:rPr>
          <w:rFonts w:ascii="Arial" w:hAnsi="Arial" w:cs="Arial"/>
        </w:rPr>
        <w:t>For mortuaries</w:t>
      </w:r>
      <w:r w:rsidR="004F61A4">
        <w:rPr>
          <w:rFonts w:ascii="Arial" w:hAnsi="Arial" w:cs="Arial"/>
        </w:rPr>
        <w:t xml:space="preserve"> and post mortem rooms</w:t>
      </w:r>
      <w:r w:rsidRPr="00933424">
        <w:rPr>
          <w:rFonts w:ascii="Arial" w:hAnsi="Arial" w:cs="Arial"/>
        </w:rPr>
        <w:t xml:space="preserve">, it is estimated based on interview responses that at each of the </w:t>
      </w:r>
      <w:r w:rsidR="004F61A4">
        <w:rPr>
          <w:rFonts w:ascii="Arial" w:hAnsi="Arial" w:cs="Arial"/>
        </w:rPr>
        <w:t>229</w:t>
      </w:r>
      <w:r w:rsidRPr="00933424">
        <w:rPr>
          <w:rFonts w:ascii="Arial" w:hAnsi="Arial" w:cs="Arial"/>
        </w:rPr>
        <w:t xml:space="preserve"> sites operating, between three and five staff will need to familiarise with the changes, with a best estimate of around four. </w:t>
      </w:r>
      <w:r w:rsidR="00896C97">
        <w:rPr>
          <w:rFonts w:ascii="Arial" w:hAnsi="Arial" w:cs="Arial"/>
        </w:rPr>
        <w:t xml:space="preserve"> </w:t>
      </w:r>
      <w:r w:rsidR="00DB6B4D">
        <w:rPr>
          <w:rFonts w:ascii="Arial" w:hAnsi="Arial" w:cs="Arial"/>
        </w:rPr>
        <w:t>The assumption is that</w:t>
      </w:r>
      <w:r w:rsidRPr="00933424">
        <w:rPr>
          <w:rFonts w:ascii="Arial" w:hAnsi="Arial" w:cs="Arial"/>
        </w:rPr>
        <w:t xml:space="preserve"> staff </w:t>
      </w:r>
      <w:r w:rsidR="00DB6B4D">
        <w:rPr>
          <w:rFonts w:ascii="Arial" w:hAnsi="Arial" w:cs="Arial"/>
        </w:rPr>
        <w:t>responsible for familiarising themselves with the changes would mo</w:t>
      </w:r>
      <w:r w:rsidRPr="00933424">
        <w:rPr>
          <w:rFonts w:ascii="Arial" w:hAnsi="Arial" w:cs="Arial"/>
        </w:rPr>
        <w:t>stly</w:t>
      </w:r>
      <w:r w:rsidR="00DB6B4D">
        <w:rPr>
          <w:rFonts w:ascii="Arial" w:hAnsi="Arial" w:cs="Arial"/>
        </w:rPr>
        <w:t xml:space="preserve"> be</w:t>
      </w:r>
      <w:r w:rsidRPr="00933424">
        <w:rPr>
          <w:rFonts w:ascii="Arial" w:hAnsi="Arial" w:cs="Arial"/>
        </w:rPr>
        <w:t xml:space="preserve"> APTs. In total, this gives between around </w:t>
      </w:r>
      <w:r w:rsidR="004F61A4">
        <w:rPr>
          <w:rFonts w:ascii="Arial" w:hAnsi="Arial" w:cs="Arial"/>
        </w:rPr>
        <w:t>687</w:t>
      </w:r>
      <w:r w:rsidR="004F61A4" w:rsidRPr="00933424">
        <w:rPr>
          <w:rFonts w:ascii="Arial" w:hAnsi="Arial" w:cs="Arial"/>
        </w:rPr>
        <w:t xml:space="preserve"> </w:t>
      </w:r>
      <w:r w:rsidRPr="00933424">
        <w:rPr>
          <w:rFonts w:ascii="Arial" w:hAnsi="Arial" w:cs="Arial"/>
        </w:rPr>
        <w:t>and 1,1</w:t>
      </w:r>
      <w:r w:rsidR="004F61A4">
        <w:rPr>
          <w:rFonts w:ascii="Arial" w:hAnsi="Arial" w:cs="Arial"/>
        </w:rPr>
        <w:t>45</w:t>
      </w:r>
      <w:r w:rsidRPr="00933424">
        <w:rPr>
          <w:rFonts w:ascii="Arial" w:hAnsi="Arial" w:cs="Arial"/>
        </w:rPr>
        <w:t xml:space="preserve"> staff, with a best estimate of around </w:t>
      </w:r>
      <w:r w:rsidR="004F61A4">
        <w:rPr>
          <w:rFonts w:ascii="Arial" w:hAnsi="Arial" w:cs="Arial"/>
        </w:rPr>
        <w:t>916</w:t>
      </w:r>
      <w:r w:rsidRPr="00933424">
        <w:rPr>
          <w:rFonts w:ascii="Arial" w:hAnsi="Arial" w:cs="Arial"/>
        </w:rPr>
        <w:t>.</w:t>
      </w:r>
    </w:p>
    <w:p w:rsidR="00933424" w:rsidRPr="00933424" w:rsidRDefault="00933424" w:rsidP="006A3249">
      <w:pPr>
        <w:rPr>
          <w:rFonts w:ascii="Arial" w:hAnsi="Arial" w:cs="Arial"/>
        </w:rPr>
      </w:pPr>
    </w:p>
    <w:p w:rsidR="00933424" w:rsidRPr="00933424" w:rsidRDefault="00933424" w:rsidP="006A3249">
      <w:pPr>
        <w:numPr>
          <w:ilvl w:val="0"/>
          <w:numId w:val="6"/>
        </w:numPr>
        <w:ind w:left="360"/>
        <w:rPr>
          <w:rFonts w:ascii="Arial" w:hAnsi="Arial" w:cs="Arial"/>
        </w:rPr>
      </w:pPr>
      <w:r w:rsidRPr="00933424">
        <w:rPr>
          <w:rFonts w:ascii="Arial" w:hAnsi="Arial" w:cs="Arial"/>
        </w:rPr>
        <w:t>Based on interview responses, it is assumed that each worker would require between around four and eight hours to familiarise themselves with the changes, with a best estimate of around six hours. This would be costed at the APTs’ FEC of £12.60 per hour.</w:t>
      </w:r>
    </w:p>
    <w:p w:rsidR="00933424" w:rsidRPr="00933424" w:rsidRDefault="00933424" w:rsidP="006A3249">
      <w:pPr>
        <w:rPr>
          <w:rFonts w:ascii="Arial" w:hAnsi="Arial" w:cs="Arial"/>
        </w:rPr>
      </w:pPr>
    </w:p>
    <w:p w:rsidR="00933424" w:rsidRPr="00933424" w:rsidRDefault="00933424" w:rsidP="006A3249">
      <w:pPr>
        <w:numPr>
          <w:ilvl w:val="0"/>
          <w:numId w:val="6"/>
        </w:numPr>
        <w:ind w:left="360"/>
        <w:rPr>
          <w:rFonts w:ascii="Arial" w:hAnsi="Arial" w:cs="Arial"/>
        </w:rPr>
      </w:pPr>
      <w:r w:rsidRPr="00933424">
        <w:rPr>
          <w:rFonts w:ascii="Arial" w:hAnsi="Arial" w:cs="Arial"/>
        </w:rPr>
        <w:t xml:space="preserve">Expected to occur in Year 1 of the appraisal period, this gives an estimated present value one-off cost to mortuaries of between around </w:t>
      </w:r>
      <w:r w:rsidRPr="00896C97">
        <w:rPr>
          <w:rFonts w:ascii="Arial" w:hAnsi="Arial" w:cs="Arial"/>
          <w:b/>
        </w:rPr>
        <w:t>£</w:t>
      </w:r>
      <w:r w:rsidR="004F61A4">
        <w:rPr>
          <w:rFonts w:ascii="Arial" w:hAnsi="Arial" w:cs="Arial"/>
          <w:b/>
        </w:rPr>
        <w:t>46</w:t>
      </w:r>
      <w:r w:rsidRPr="00896C97">
        <w:rPr>
          <w:rFonts w:ascii="Arial" w:hAnsi="Arial" w:cs="Arial"/>
          <w:b/>
        </w:rPr>
        <w:t xml:space="preserve"> thousand and £</w:t>
      </w:r>
      <w:r w:rsidR="00B50CB1">
        <w:rPr>
          <w:rFonts w:ascii="Arial" w:hAnsi="Arial" w:cs="Arial"/>
          <w:b/>
        </w:rPr>
        <w:t>92</w:t>
      </w:r>
      <w:r w:rsidRPr="00896C97">
        <w:rPr>
          <w:rFonts w:ascii="Arial" w:hAnsi="Arial" w:cs="Arial"/>
          <w:b/>
        </w:rPr>
        <w:t xml:space="preserve"> thousand, with a best estimate of around £</w:t>
      </w:r>
      <w:r w:rsidR="00B50CB1">
        <w:rPr>
          <w:rFonts w:ascii="Arial" w:hAnsi="Arial" w:cs="Arial"/>
          <w:b/>
        </w:rPr>
        <w:t>69</w:t>
      </w:r>
      <w:r w:rsidRPr="00896C97">
        <w:rPr>
          <w:rFonts w:ascii="Arial" w:hAnsi="Arial" w:cs="Arial"/>
          <w:b/>
        </w:rPr>
        <w:t xml:space="preserve"> thousand</w:t>
      </w:r>
      <w:r w:rsidRPr="00933424">
        <w:rPr>
          <w:rFonts w:ascii="Arial" w:hAnsi="Arial" w:cs="Arial"/>
        </w:rPr>
        <w:t>.</w:t>
      </w:r>
    </w:p>
    <w:p w:rsidR="00933424" w:rsidRPr="00933424" w:rsidRDefault="00933424" w:rsidP="00933424">
      <w:pPr>
        <w:rPr>
          <w:rFonts w:ascii="Arial" w:hAnsi="Arial" w:cs="Arial"/>
        </w:rPr>
      </w:pPr>
    </w:p>
    <w:p w:rsidR="00933424" w:rsidRPr="00933424" w:rsidRDefault="00933424" w:rsidP="006A3249">
      <w:pPr>
        <w:rPr>
          <w:rFonts w:ascii="Arial" w:hAnsi="Arial" w:cs="Arial"/>
          <w:b/>
        </w:rPr>
      </w:pPr>
      <w:r w:rsidRPr="00933424">
        <w:rPr>
          <w:rFonts w:ascii="Arial" w:hAnsi="Arial" w:cs="Arial"/>
          <w:b/>
        </w:rPr>
        <w:t>Training</w:t>
      </w:r>
    </w:p>
    <w:p w:rsidR="00933424" w:rsidRPr="00933424" w:rsidRDefault="00933424" w:rsidP="00933424">
      <w:pPr>
        <w:rPr>
          <w:rFonts w:ascii="Arial" w:hAnsi="Arial" w:cs="Arial"/>
        </w:rPr>
      </w:pPr>
    </w:p>
    <w:p w:rsidR="00933424" w:rsidRPr="00933424" w:rsidRDefault="00933424" w:rsidP="006A3249">
      <w:pPr>
        <w:numPr>
          <w:ilvl w:val="0"/>
          <w:numId w:val="6"/>
        </w:numPr>
        <w:ind w:left="360"/>
        <w:rPr>
          <w:rFonts w:ascii="Arial" w:hAnsi="Arial" w:cs="Arial"/>
        </w:rPr>
      </w:pPr>
      <w:r w:rsidRPr="00933424">
        <w:rPr>
          <w:rFonts w:ascii="Arial" w:hAnsi="Arial" w:cs="Arial"/>
        </w:rPr>
        <w:t xml:space="preserve">HSE investigated as part of its interviews whether any additional training of staff would be required as a result of the updated and merged combined guidance. Interviewees responded that this would not be necessary in the funeral sector as very little would change in their guidance; and in the post mortem sector, that this would be rolled into the usual round of ongoing updates for staff. Therefore, this is estimated to impose no additional cost. </w:t>
      </w:r>
    </w:p>
    <w:p w:rsidR="00933424" w:rsidRPr="00933424" w:rsidRDefault="00933424" w:rsidP="006A3249">
      <w:pPr>
        <w:rPr>
          <w:rFonts w:ascii="Arial" w:hAnsi="Arial" w:cs="Arial"/>
        </w:rPr>
      </w:pPr>
    </w:p>
    <w:p w:rsidR="00933424" w:rsidRPr="00933424" w:rsidRDefault="00933424" w:rsidP="006A3249">
      <w:pPr>
        <w:ind w:left="-360" w:firstLine="360"/>
        <w:rPr>
          <w:rFonts w:ascii="Arial" w:hAnsi="Arial" w:cs="Arial"/>
          <w:b/>
        </w:rPr>
      </w:pPr>
      <w:r w:rsidRPr="00933424">
        <w:rPr>
          <w:rFonts w:ascii="Arial" w:hAnsi="Arial" w:cs="Arial"/>
          <w:b/>
        </w:rPr>
        <w:t>Option 3</w:t>
      </w:r>
    </w:p>
    <w:p w:rsidR="00933424" w:rsidRPr="00933424" w:rsidRDefault="00933424" w:rsidP="006A3249">
      <w:pPr>
        <w:rPr>
          <w:rFonts w:ascii="Arial" w:hAnsi="Arial" w:cs="Arial"/>
        </w:rPr>
      </w:pPr>
    </w:p>
    <w:p w:rsidR="00933424" w:rsidRPr="00933424" w:rsidRDefault="00933424" w:rsidP="006A3249">
      <w:pPr>
        <w:numPr>
          <w:ilvl w:val="0"/>
          <w:numId w:val="6"/>
        </w:numPr>
        <w:ind w:left="360"/>
        <w:rPr>
          <w:rFonts w:ascii="Arial" w:hAnsi="Arial" w:cs="Arial"/>
        </w:rPr>
      </w:pPr>
      <w:r w:rsidRPr="00933424">
        <w:rPr>
          <w:rFonts w:ascii="Arial" w:hAnsi="Arial" w:cs="Arial"/>
        </w:rPr>
        <w:t xml:space="preserve">The current human remains guidance sets out the activities in which workers could be exposed to infection from handling the deceased and the sources of infection.  It goes on to describe the control measures required to prevent infection.  These measures will provide a suitable level of protection from the majority of infections.  </w:t>
      </w:r>
    </w:p>
    <w:p w:rsidR="00933424" w:rsidRPr="00933424" w:rsidRDefault="00933424" w:rsidP="006A3249">
      <w:pPr>
        <w:rPr>
          <w:rFonts w:ascii="Arial" w:hAnsi="Arial" w:cs="Arial"/>
        </w:rPr>
      </w:pPr>
    </w:p>
    <w:p w:rsidR="00933424" w:rsidRDefault="00933424" w:rsidP="006A3249">
      <w:pPr>
        <w:numPr>
          <w:ilvl w:val="0"/>
          <w:numId w:val="6"/>
        </w:numPr>
        <w:ind w:left="360"/>
        <w:rPr>
          <w:rFonts w:ascii="Arial" w:hAnsi="Arial" w:cs="Arial"/>
        </w:rPr>
      </w:pPr>
      <w:r w:rsidRPr="00DB6B4D">
        <w:rPr>
          <w:rFonts w:ascii="Arial" w:hAnsi="Arial" w:cs="Arial"/>
        </w:rPr>
        <w:t xml:space="preserve">However, as the guidance currently recommends that embalming the deceased with HG3 </w:t>
      </w:r>
      <w:r w:rsidR="00DB6B4D" w:rsidRPr="00DB6B4D">
        <w:rPr>
          <w:rFonts w:ascii="Arial" w:hAnsi="Arial" w:cs="Arial"/>
        </w:rPr>
        <w:t>BBVs</w:t>
      </w:r>
      <w:r w:rsidRPr="00DB6B4D">
        <w:rPr>
          <w:rFonts w:ascii="Arial" w:hAnsi="Arial" w:cs="Arial"/>
        </w:rPr>
        <w:t xml:space="preserve"> should not be carried out, it is necessary to consider the controls that would be required to prevent exposure to HG3 </w:t>
      </w:r>
      <w:r w:rsidR="00DB6B4D">
        <w:rPr>
          <w:rFonts w:ascii="Arial" w:hAnsi="Arial" w:cs="Arial"/>
        </w:rPr>
        <w:t>BBVs</w:t>
      </w:r>
      <w:r w:rsidRPr="00DB6B4D">
        <w:rPr>
          <w:rFonts w:ascii="Arial" w:hAnsi="Arial" w:cs="Arial"/>
        </w:rPr>
        <w:t xml:space="preserve"> and outline these in guidance.  </w:t>
      </w:r>
    </w:p>
    <w:p w:rsidR="00DB6B4D" w:rsidRPr="00DB6B4D" w:rsidRDefault="00DB6B4D" w:rsidP="00DB6B4D">
      <w:pPr>
        <w:rPr>
          <w:rFonts w:ascii="Arial" w:hAnsi="Arial" w:cs="Arial"/>
        </w:rPr>
      </w:pPr>
    </w:p>
    <w:p w:rsidR="00933424" w:rsidRPr="000F68B3" w:rsidRDefault="00933424" w:rsidP="006A3249">
      <w:pPr>
        <w:numPr>
          <w:ilvl w:val="0"/>
          <w:numId w:val="6"/>
        </w:numPr>
        <w:ind w:left="360"/>
        <w:rPr>
          <w:rFonts w:ascii="Arial" w:hAnsi="Arial" w:cs="Arial"/>
        </w:rPr>
      </w:pPr>
      <w:r w:rsidRPr="000F68B3">
        <w:rPr>
          <w:rFonts w:ascii="Arial" w:hAnsi="Arial" w:cs="Arial"/>
        </w:rPr>
        <w:t>Embalming and post mortem examinations are similar in that they have the potential to expose the person carrying out the procedure</w:t>
      </w:r>
      <w:r w:rsidR="00DB6B4D" w:rsidRPr="000F68B3">
        <w:rPr>
          <w:rFonts w:ascii="Arial" w:hAnsi="Arial" w:cs="Arial"/>
        </w:rPr>
        <w:t xml:space="preserve">, </w:t>
      </w:r>
      <w:proofErr w:type="spellStart"/>
      <w:r w:rsidR="00DB6B4D" w:rsidRPr="000F68B3">
        <w:rPr>
          <w:rFonts w:ascii="Arial" w:hAnsi="Arial" w:cs="Arial"/>
        </w:rPr>
        <w:t>ie</w:t>
      </w:r>
      <w:proofErr w:type="spellEnd"/>
      <w:r w:rsidR="00DB6B4D" w:rsidRPr="000F68B3">
        <w:rPr>
          <w:rFonts w:ascii="Arial" w:hAnsi="Arial" w:cs="Arial"/>
        </w:rPr>
        <w:t xml:space="preserve"> an embalmer or the APT/pathologist,</w:t>
      </w:r>
      <w:r w:rsidRPr="000F68B3">
        <w:rPr>
          <w:rFonts w:ascii="Arial" w:hAnsi="Arial" w:cs="Arial"/>
        </w:rPr>
        <w:t xml:space="preserve"> to blood or body fluids.  Where there is a HG3 </w:t>
      </w:r>
      <w:r w:rsidR="00DB6B4D" w:rsidRPr="000F68B3">
        <w:rPr>
          <w:rFonts w:ascii="Arial" w:hAnsi="Arial" w:cs="Arial"/>
        </w:rPr>
        <w:t>BBV</w:t>
      </w:r>
      <w:r w:rsidRPr="000F68B3">
        <w:rPr>
          <w:rFonts w:ascii="Arial" w:hAnsi="Arial" w:cs="Arial"/>
        </w:rPr>
        <w:t xml:space="preserve"> present, it will therefore be necessary to implement a higher standard of control to prevent infection.  Guidance from The Royal College of Pathologists on post mortem practice (issued in 2002) advocates the use of ‘universal precautions’ </w:t>
      </w:r>
      <w:r w:rsidR="000F68B3" w:rsidRPr="000F68B3">
        <w:rPr>
          <w:rFonts w:ascii="Arial" w:hAnsi="Arial" w:cs="Arial"/>
        </w:rPr>
        <w:t xml:space="preserve">(now referred to as standard precautions) </w:t>
      </w:r>
      <w:r w:rsidRPr="000F68B3">
        <w:rPr>
          <w:rFonts w:ascii="Arial" w:hAnsi="Arial" w:cs="Arial"/>
        </w:rPr>
        <w:t>when dealing with the risk of infe</w:t>
      </w:r>
      <w:r w:rsidR="00896C97" w:rsidRPr="000F68B3">
        <w:rPr>
          <w:rFonts w:ascii="Arial" w:hAnsi="Arial" w:cs="Arial"/>
        </w:rPr>
        <w:t>ction from the deceased with HG</w:t>
      </w:r>
      <w:r w:rsidRPr="000F68B3">
        <w:rPr>
          <w:rFonts w:ascii="Arial" w:hAnsi="Arial" w:cs="Arial"/>
        </w:rPr>
        <w:t xml:space="preserve">3 infections.  The guidance explains that with the appropriate protection and suitable protocols, the risk of infection can be brought to an acceptable level, even when the infection is not known prior to the </w:t>
      </w:r>
      <w:r w:rsidR="00896C97" w:rsidRPr="000F68B3">
        <w:rPr>
          <w:rFonts w:ascii="Arial" w:hAnsi="Arial" w:cs="Arial"/>
        </w:rPr>
        <w:t>post mortem</w:t>
      </w:r>
      <w:r w:rsidRPr="000F68B3">
        <w:rPr>
          <w:rFonts w:ascii="Arial" w:hAnsi="Arial" w:cs="Arial"/>
        </w:rPr>
        <w:t xml:space="preserve">.  </w:t>
      </w:r>
    </w:p>
    <w:p w:rsidR="00933424" w:rsidRPr="000F68B3" w:rsidRDefault="00933424" w:rsidP="006A3249">
      <w:pPr>
        <w:rPr>
          <w:rFonts w:ascii="Arial" w:hAnsi="Arial" w:cs="Arial"/>
        </w:rPr>
      </w:pPr>
    </w:p>
    <w:p w:rsidR="00933424" w:rsidRPr="000F68B3" w:rsidRDefault="000F68B3" w:rsidP="006A3249">
      <w:pPr>
        <w:numPr>
          <w:ilvl w:val="0"/>
          <w:numId w:val="6"/>
        </w:numPr>
        <w:ind w:left="360"/>
        <w:rPr>
          <w:rFonts w:ascii="Arial" w:hAnsi="Arial" w:cs="Arial"/>
        </w:rPr>
      </w:pPr>
      <w:r w:rsidRPr="000F68B3">
        <w:rPr>
          <w:rFonts w:ascii="Arial" w:hAnsi="Arial" w:cs="Arial"/>
        </w:rPr>
        <w:t xml:space="preserve">Standard </w:t>
      </w:r>
      <w:r w:rsidR="00933424" w:rsidRPr="000F68B3">
        <w:rPr>
          <w:rFonts w:ascii="Arial" w:hAnsi="Arial" w:cs="Arial"/>
        </w:rPr>
        <w:t>precaution</w:t>
      </w:r>
      <w:r w:rsidR="00DB6B4D" w:rsidRPr="000F68B3">
        <w:rPr>
          <w:rFonts w:ascii="Arial" w:hAnsi="Arial" w:cs="Arial"/>
        </w:rPr>
        <w:t>s</w:t>
      </w:r>
      <w:r w:rsidR="00933424" w:rsidRPr="000F68B3">
        <w:rPr>
          <w:rFonts w:ascii="Arial" w:hAnsi="Arial" w:cs="Arial"/>
        </w:rPr>
        <w:t xml:space="preserve"> is a term used </w:t>
      </w:r>
      <w:r w:rsidRPr="000F68B3">
        <w:rPr>
          <w:rFonts w:ascii="Arial" w:hAnsi="Arial" w:cs="Arial"/>
        </w:rPr>
        <w:t xml:space="preserve">for the minimum standards required to control the risk of infection and includes </w:t>
      </w:r>
      <w:r w:rsidR="00933424" w:rsidRPr="000F68B3">
        <w:rPr>
          <w:rFonts w:ascii="Arial" w:hAnsi="Arial" w:cs="Arial"/>
        </w:rPr>
        <w:t xml:space="preserve">the personal protective equipment (PPE) to be used when carrying out a procedure.  However, what this is can differ depending on the workplace setting. The guidance would align what the </w:t>
      </w:r>
      <w:r w:rsidRPr="000F68B3">
        <w:rPr>
          <w:rFonts w:ascii="Arial" w:hAnsi="Arial" w:cs="Arial"/>
        </w:rPr>
        <w:t xml:space="preserve">standard </w:t>
      </w:r>
      <w:r w:rsidR="00933424" w:rsidRPr="000F68B3">
        <w:rPr>
          <w:rFonts w:ascii="Arial" w:hAnsi="Arial" w:cs="Arial"/>
        </w:rPr>
        <w:t xml:space="preserve">precautions are for controlling the risk of infection from HG3 </w:t>
      </w:r>
      <w:r w:rsidR="00DB6B4D" w:rsidRPr="000F68B3">
        <w:rPr>
          <w:rFonts w:ascii="Arial" w:hAnsi="Arial" w:cs="Arial"/>
        </w:rPr>
        <w:t>BBVs</w:t>
      </w:r>
      <w:r w:rsidR="00933424" w:rsidRPr="000F68B3">
        <w:rPr>
          <w:rFonts w:ascii="Arial" w:hAnsi="Arial" w:cs="Arial"/>
        </w:rPr>
        <w:t xml:space="preserve"> in a deceased person, whether that is for an embalming procedure or carrying out a post mortem.  The risk of infection and the way in which the virus is transmitted are the same and therefore the </w:t>
      </w:r>
      <w:r w:rsidR="00B57B37" w:rsidRPr="000F68B3">
        <w:rPr>
          <w:rFonts w:ascii="Arial" w:hAnsi="Arial" w:cs="Arial"/>
        </w:rPr>
        <w:t>safe working practices</w:t>
      </w:r>
      <w:r w:rsidR="00933424" w:rsidRPr="000F68B3">
        <w:rPr>
          <w:rFonts w:ascii="Arial" w:hAnsi="Arial" w:cs="Arial"/>
        </w:rPr>
        <w:t xml:space="preserve"> for controlling the risk of infection should be the same.   </w:t>
      </w:r>
    </w:p>
    <w:p w:rsidR="00933424" w:rsidRPr="00933424" w:rsidRDefault="00933424" w:rsidP="006A3249">
      <w:pPr>
        <w:rPr>
          <w:rFonts w:ascii="Arial" w:hAnsi="Arial" w:cs="Arial"/>
        </w:rPr>
      </w:pPr>
    </w:p>
    <w:p w:rsidR="00933424" w:rsidRPr="00933424" w:rsidRDefault="00933424" w:rsidP="006A3249">
      <w:pPr>
        <w:numPr>
          <w:ilvl w:val="0"/>
          <w:numId w:val="6"/>
        </w:numPr>
        <w:ind w:left="360"/>
        <w:rPr>
          <w:rFonts w:ascii="Arial" w:hAnsi="Arial" w:cs="Arial"/>
        </w:rPr>
      </w:pPr>
      <w:r w:rsidRPr="00933424">
        <w:rPr>
          <w:rFonts w:ascii="Arial" w:hAnsi="Arial" w:cs="Arial"/>
        </w:rPr>
        <w:t>The Royal College of Pathologists recommend the following PPE for carrying</w:t>
      </w:r>
      <w:r w:rsidR="00F66288">
        <w:rPr>
          <w:rFonts w:ascii="Arial" w:hAnsi="Arial" w:cs="Arial"/>
        </w:rPr>
        <w:t xml:space="preserve"> out a post mortem on the deceased with</w:t>
      </w:r>
      <w:r w:rsidR="00B57B37">
        <w:rPr>
          <w:rFonts w:ascii="Arial" w:hAnsi="Arial" w:cs="Arial"/>
        </w:rPr>
        <w:t xml:space="preserve"> a</w:t>
      </w:r>
      <w:r w:rsidR="00F66288">
        <w:rPr>
          <w:rFonts w:ascii="Arial" w:hAnsi="Arial" w:cs="Arial"/>
        </w:rPr>
        <w:t xml:space="preserve"> HG3 </w:t>
      </w:r>
      <w:r w:rsidR="00B57B37">
        <w:rPr>
          <w:rFonts w:ascii="Arial" w:hAnsi="Arial" w:cs="Arial"/>
        </w:rPr>
        <w:t>BBV</w:t>
      </w:r>
      <w:r w:rsidR="00F66288">
        <w:rPr>
          <w:rFonts w:ascii="Arial" w:hAnsi="Arial" w:cs="Arial"/>
        </w:rPr>
        <w:t xml:space="preserve"> present</w:t>
      </w:r>
      <w:r w:rsidRPr="00933424">
        <w:rPr>
          <w:rFonts w:ascii="Arial" w:hAnsi="Arial" w:cs="Arial"/>
        </w:rPr>
        <w:t xml:space="preserve">: </w:t>
      </w:r>
    </w:p>
    <w:p w:rsidR="00933424" w:rsidRPr="00933424" w:rsidRDefault="00933424" w:rsidP="006A3249">
      <w:pPr>
        <w:numPr>
          <w:ilvl w:val="0"/>
          <w:numId w:val="23"/>
        </w:numPr>
        <w:ind w:left="720"/>
        <w:rPr>
          <w:rFonts w:ascii="Arial" w:hAnsi="Arial" w:cs="Arial"/>
        </w:rPr>
      </w:pPr>
      <w:r w:rsidRPr="00933424">
        <w:rPr>
          <w:rFonts w:ascii="Arial" w:hAnsi="Arial" w:cs="Arial"/>
        </w:rPr>
        <w:t>A surgical scrub suit</w:t>
      </w:r>
    </w:p>
    <w:p w:rsidR="00933424" w:rsidRPr="00933424" w:rsidRDefault="00933424" w:rsidP="006A3249">
      <w:pPr>
        <w:numPr>
          <w:ilvl w:val="0"/>
          <w:numId w:val="23"/>
        </w:numPr>
        <w:ind w:left="720"/>
        <w:rPr>
          <w:rFonts w:ascii="Arial" w:hAnsi="Arial" w:cs="Arial"/>
        </w:rPr>
      </w:pPr>
      <w:r w:rsidRPr="00933424">
        <w:rPr>
          <w:rFonts w:ascii="Arial" w:hAnsi="Arial" w:cs="Arial"/>
        </w:rPr>
        <w:t xml:space="preserve">A waterproof or water resistant disposable gown that completely covers the arms, chest and legs </w:t>
      </w:r>
    </w:p>
    <w:p w:rsidR="00933424" w:rsidRPr="00933424" w:rsidRDefault="00933424" w:rsidP="006A3249">
      <w:pPr>
        <w:numPr>
          <w:ilvl w:val="0"/>
          <w:numId w:val="23"/>
        </w:numPr>
        <w:ind w:left="720"/>
        <w:rPr>
          <w:rFonts w:ascii="Arial" w:hAnsi="Arial" w:cs="Arial"/>
        </w:rPr>
      </w:pPr>
      <w:r w:rsidRPr="00933424">
        <w:rPr>
          <w:rFonts w:ascii="Arial" w:hAnsi="Arial" w:cs="Arial"/>
        </w:rPr>
        <w:t>A plastic disposable apron to cover chest, trunk and legs</w:t>
      </w:r>
    </w:p>
    <w:p w:rsidR="00933424" w:rsidRPr="00933424" w:rsidRDefault="00933424" w:rsidP="006A3249">
      <w:pPr>
        <w:numPr>
          <w:ilvl w:val="0"/>
          <w:numId w:val="23"/>
        </w:numPr>
        <w:ind w:left="720"/>
        <w:rPr>
          <w:rFonts w:ascii="Arial" w:hAnsi="Arial" w:cs="Arial"/>
        </w:rPr>
      </w:pPr>
      <w:r w:rsidRPr="00933424">
        <w:rPr>
          <w:rFonts w:ascii="Arial" w:hAnsi="Arial" w:cs="Arial"/>
        </w:rPr>
        <w:t>A form of eye protection or plain unventilated visor</w:t>
      </w:r>
    </w:p>
    <w:p w:rsidR="00933424" w:rsidRPr="00933424" w:rsidRDefault="00933424" w:rsidP="006A3249">
      <w:pPr>
        <w:numPr>
          <w:ilvl w:val="0"/>
          <w:numId w:val="23"/>
        </w:numPr>
        <w:ind w:left="720"/>
        <w:rPr>
          <w:rFonts w:ascii="Arial" w:hAnsi="Arial" w:cs="Arial"/>
        </w:rPr>
      </w:pPr>
      <w:r w:rsidRPr="00933424">
        <w:rPr>
          <w:rFonts w:ascii="Arial" w:hAnsi="Arial" w:cs="Arial"/>
        </w:rPr>
        <w:t>A face mask to protect the mouth and nose from direct splash contamination if visor is not worn</w:t>
      </w:r>
    </w:p>
    <w:p w:rsidR="00933424" w:rsidRPr="00933424" w:rsidRDefault="00933424" w:rsidP="006A3249">
      <w:pPr>
        <w:numPr>
          <w:ilvl w:val="0"/>
          <w:numId w:val="23"/>
        </w:numPr>
        <w:ind w:left="720"/>
        <w:rPr>
          <w:rFonts w:ascii="Arial" w:hAnsi="Arial" w:cs="Arial"/>
        </w:rPr>
      </w:pPr>
      <w:r w:rsidRPr="00933424">
        <w:rPr>
          <w:rFonts w:ascii="Arial" w:hAnsi="Arial" w:cs="Arial"/>
        </w:rPr>
        <w:t>A disposable paper hat (optional)</w:t>
      </w:r>
    </w:p>
    <w:p w:rsidR="00933424" w:rsidRPr="00933424" w:rsidRDefault="00933424" w:rsidP="006A3249">
      <w:pPr>
        <w:numPr>
          <w:ilvl w:val="0"/>
          <w:numId w:val="23"/>
        </w:numPr>
        <w:ind w:left="720"/>
        <w:rPr>
          <w:rFonts w:ascii="Arial" w:hAnsi="Arial" w:cs="Arial"/>
        </w:rPr>
      </w:pPr>
      <w:r w:rsidRPr="00933424">
        <w:rPr>
          <w:rFonts w:ascii="Arial" w:hAnsi="Arial" w:cs="Arial"/>
        </w:rPr>
        <w:t>Gloves: outer latex over neoprene cut-resistant gloves (the best possible protection is a triple glove sandwich of latex-neoprene-latex)</w:t>
      </w:r>
    </w:p>
    <w:p w:rsidR="00933424" w:rsidRPr="00C6603D" w:rsidRDefault="00933424" w:rsidP="006A3249">
      <w:pPr>
        <w:numPr>
          <w:ilvl w:val="0"/>
          <w:numId w:val="23"/>
        </w:numPr>
        <w:ind w:left="720"/>
        <w:rPr>
          <w:rFonts w:ascii="Arial" w:hAnsi="Arial" w:cs="Arial"/>
        </w:rPr>
      </w:pPr>
      <w:r w:rsidRPr="00C6603D">
        <w:rPr>
          <w:rFonts w:ascii="Arial" w:hAnsi="Arial" w:cs="Arial"/>
        </w:rPr>
        <w:t>Rubber boots with reinforced toe caps.</w:t>
      </w:r>
    </w:p>
    <w:p w:rsidR="00933424" w:rsidRPr="00933424" w:rsidRDefault="00933424" w:rsidP="006A3249">
      <w:pPr>
        <w:rPr>
          <w:rFonts w:ascii="Arial" w:hAnsi="Arial" w:cs="Arial"/>
        </w:rPr>
      </w:pPr>
    </w:p>
    <w:p w:rsidR="00933424" w:rsidRPr="00933424" w:rsidRDefault="00933424" w:rsidP="006A3249">
      <w:pPr>
        <w:numPr>
          <w:ilvl w:val="0"/>
          <w:numId w:val="6"/>
        </w:numPr>
        <w:ind w:left="360"/>
        <w:rPr>
          <w:rFonts w:ascii="Arial" w:hAnsi="Arial" w:cs="Arial"/>
        </w:rPr>
      </w:pPr>
      <w:r w:rsidRPr="00933424">
        <w:rPr>
          <w:rFonts w:ascii="Arial" w:hAnsi="Arial" w:cs="Arial"/>
        </w:rPr>
        <w:t xml:space="preserve">HSE would like to ensure that this level of protection is in place when carrying out an embalming procedure or a post mortem on a deceased body with a HG3 </w:t>
      </w:r>
      <w:r w:rsidR="00DB6B4D">
        <w:rPr>
          <w:rFonts w:ascii="Arial" w:hAnsi="Arial" w:cs="Arial"/>
        </w:rPr>
        <w:t>BBV</w:t>
      </w:r>
      <w:r w:rsidRPr="00933424">
        <w:rPr>
          <w:rFonts w:ascii="Arial" w:hAnsi="Arial" w:cs="Arial"/>
        </w:rPr>
        <w:t xml:space="preserve"> present.  To compare the above list of PPE with those required in the current human remains guidance </w:t>
      </w:r>
      <w:r w:rsidRPr="00933424">
        <w:rPr>
          <w:rFonts w:ascii="Arial" w:hAnsi="Arial" w:cs="Arial"/>
        </w:rPr>
        <w:lastRenderedPageBreak/>
        <w:t xml:space="preserve">(Annex 1) shows that there are just two additional items required – a disposable plastic apron to cover chest, trunk and legs and a disposable paper hat (which is optional anyway).  </w:t>
      </w:r>
    </w:p>
    <w:p w:rsidR="00933424" w:rsidRPr="00933424" w:rsidRDefault="00933424" w:rsidP="006A3249">
      <w:pPr>
        <w:rPr>
          <w:rFonts w:ascii="Arial" w:hAnsi="Arial" w:cs="Arial"/>
        </w:rPr>
      </w:pPr>
    </w:p>
    <w:p w:rsidR="00DB6B4D" w:rsidRPr="00980DE2" w:rsidRDefault="00933424" w:rsidP="00DB6B4D">
      <w:pPr>
        <w:numPr>
          <w:ilvl w:val="0"/>
          <w:numId w:val="6"/>
        </w:numPr>
        <w:ind w:left="360"/>
        <w:rPr>
          <w:rFonts w:ascii="Arial" w:hAnsi="Arial" w:cs="Arial"/>
        </w:rPr>
      </w:pPr>
      <w:r w:rsidRPr="00980DE2">
        <w:rPr>
          <w:rFonts w:ascii="Arial" w:hAnsi="Arial" w:cs="Arial"/>
        </w:rPr>
        <w:t xml:space="preserve">While the PPE is one element of controlling the risks of infection, the facility in which the procedures take place should be of a suitable standard.  </w:t>
      </w:r>
      <w:r w:rsidR="00B57B37" w:rsidRPr="00980DE2">
        <w:rPr>
          <w:rFonts w:ascii="Arial" w:hAnsi="Arial" w:cs="Arial"/>
        </w:rPr>
        <w:t xml:space="preserve">A suitable facility should have </w:t>
      </w:r>
      <w:r w:rsidR="00AA247E" w:rsidRPr="00980DE2">
        <w:rPr>
          <w:rFonts w:ascii="Arial" w:hAnsi="Arial" w:cs="Arial"/>
        </w:rPr>
        <w:t>impervious</w:t>
      </w:r>
      <w:r w:rsidR="00B57B37" w:rsidRPr="00980DE2">
        <w:rPr>
          <w:rFonts w:ascii="Arial" w:hAnsi="Arial" w:cs="Arial"/>
        </w:rPr>
        <w:t xml:space="preserve"> work surfaces</w:t>
      </w:r>
      <w:r w:rsidR="00980DE2">
        <w:rPr>
          <w:rFonts w:ascii="Arial" w:hAnsi="Arial" w:cs="Arial"/>
        </w:rPr>
        <w:t xml:space="preserve"> (e.g. preparation areas, embalming and post mortem tables) </w:t>
      </w:r>
      <w:r w:rsidR="00AC6AE4">
        <w:rPr>
          <w:rFonts w:ascii="Arial" w:hAnsi="Arial" w:cs="Arial"/>
        </w:rPr>
        <w:t xml:space="preserve">which </w:t>
      </w:r>
      <w:r w:rsidR="00980DE2">
        <w:rPr>
          <w:rFonts w:ascii="Arial" w:hAnsi="Arial" w:cs="Arial"/>
        </w:rPr>
        <w:t>need to be easy to</w:t>
      </w:r>
      <w:r w:rsidR="00B57B37" w:rsidRPr="00980DE2">
        <w:rPr>
          <w:rFonts w:ascii="Arial" w:hAnsi="Arial" w:cs="Arial"/>
        </w:rPr>
        <w:t xml:space="preserve"> </w:t>
      </w:r>
      <w:r w:rsidR="00980DE2">
        <w:rPr>
          <w:rFonts w:ascii="Arial" w:hAnsi="Arial" w:cs="Arial"/>
        </w:rPr>
        <w:t xml:space="preserve">clean </w:t>
      </w:r>
      <w:r w:rsidR="00AA247E" w:rsidRPr="00980DE2">
        <w:rPr>
          <w:rFonts w:ascii="Arial" w:hAnsi="Arial" w:cs="Arial"/>
        </w:rPr>
        <w:t xml:space="preserve">and </w:t>
      </w:r>
      <w:r w:rsidR="00980DE2">
        <w:rPr>
          <w:rFonts w:ascii="Arial" w:hAnsi="Arial" w:cs="Arial"/>
        </w:rPr>
        <w:t xml:space="preserve">decontaminate.  They need to be resistant to the chemicals used for the procedures undertaken. </w:t>
      </w:r>
      <w:r w:rsidR="00980DE2" w:rsidRPr="00980DE2">
        <w:rPr>
          <w:rFonts w:ascii="Arial" w:hAnsi="Arial" w:cs="Arial"/>
        </w:rPr>
        <w:t xml:space="preserve">  </w:t>
      </w:r>
      <w:r w:rsidR="00AA247E" w:rsidRPr="00980DE2">
        <w:rPr>
          <w:rFonts w:ascii="Arial" w:hAnsi="Arial" w:cs="Arial"/>
        </w:rPr>
        <w:t xml:space="preserve">  </w:t>
      </w:r>
    </w:p>
    <w:p w:rsidR="00980DE2" w:rsidRPr="00980DE2" w:rsidRDefault="00980DE2" w:rsidP="00980DE2">
      <w:pPr>
        <w:rPr>
          <w:rFonts w:ascii="Arial" w:hAnsi="Arial" w:cs="Arial"/>
        </w:rPr>
      </w:pPr>
    </w:p>
    <w:p w:rsidR="00933424" w:rsidRPr="000F68B3" w:rsidRDefault="00933424" w:rsidP="006A3249">
      <w:pPr>
        <w:numPr>
          <w:ilvl w:val="0"/>
          <w:numId w:val="6"/>
        </w:numPr>
        <w:ind w:left="360"/>
        <w:rPr>
          <w:rFonts w:ascii="Arial" w:hAnsi="Arial" w:cs="Arial"/>
        </w:rPr>
      </w:pPr>
      <w:r w:rsidRPr="000F68B3">
        <w:rPr>
          <w:rFonts w:ascii="Arial" w:hAnsi="Arial" w:cs="Arial"/>
        </w:rPr>
        <w:t>There is also a need to have appropriately trained</w:t>
      </w:r>
      <w:r w:rsidR="00AC6AE4" w:rsidRPr="000F68B3">
        <w:rPr>
          <w:rFonts w:ascii="Arial" w:hAnsi="Arial" w:cs="Arial"/>
        </w:rPr>
        <w:t xml:space="preserve"> and competent</w:t>
      </w:r>
      <w:r w:rsidRPr="000F68B3">
        <w:rPr>
          <w:rFonts w:ascii="Arial" w:hAnsi="Arial" w:cs="Arial"/>
        </w:rPr>
        <w:t xml:space="preserve"> people to carry out the procedures</w:t>
      </w:r>
      <w:r w:rsidR="00975CDE" w:rsidRPr="000F68B3">
        <w:rPr>
          <w:rFonts w:ascii="Arial" w:hAnsi="Arial" w:cs="Arial"/>
        </w:rPr>
        <w:t>.  This means the person should</w:t>
      </w:r>
      <w:r w:rsidRPr="000F68B3">
        <w:rPr>
          <w:rFonts w:ascii="Arial" w:hAnsi="Arial" w:cs="Arial"/>
        </w:rPr>
        <w:t xml:space="preserve"> </w:t>
      </w:r>
      <w:r w:rsidR="00975CDE" w:rsidRPr="000F68B3">
        <w:rPr>
          <w:rFonts w:ascii="Arial" w:hAnsi="Arial" w:cs="Arial"/>
        </w:rPr>
        <w:t>be aware of</w:t>
      </w:r>
      <w:r w:rsidRPr="000F68B3">
        <w:rPr>
          <w:rFonts w:ascii="Arial" w:hAnsi="Arial" w:cs="Arial"/>
        </w:rPr>
        <w:t xml:space="preserve"> the risks</w:t>
      </w:r>
      <w:r w:rsidR="00A709B5" w:rsidRPr="000F68B3">
        <w:rPr>
          <w:rFonts w:ascii="Arial" w:hAnsi="Arial" w:cs="Arial"/>
        </w:rPr>
        <w:t xml:space="preserve">, </w:t>
      </w:r>
      <w:proofErr w:type="spellStart"/>
      <w:r w:rsidR="00A709B5" w:rsidRPr="000F68B3">
        <w:rPr>
          <w:rFonts w:ascii="Arial" w:hAnsi="Arial" w:cs="Arial"/>
        </w:rPr>
        <w:t>ie</w:t>
      </w:r>
      <w:proofErr w:type="spellEnd"/>
      <w:r w:rsidR="00A709B5" w:rsidRPr="000F68B3">
        <w:rPr>
          <w:rFonts w:ascii="Arial" w:hAnsi="Arial" w:cs="Arial"/>
        </w:rPr>
        <w:t xml:space="preserve"> exposure to blood and body fluids through inoculation,</w:t>
      </w:r>
      <w:r w:rsidRPr="000F68B3">
        <w:rPr>
          <w:rFonts w:ascii="Arial" w:hAnsi="Arial" w:cs="Arial"/>
        </w:rPr>
        <w:t xml:space="preserve"> and have</w:t>
      </w:r>
      <w:r w:rsidR="00F66288" w:rsidRPr="000F68B3">
        <w:rPr>
          <w:rFonts w:ascii="Arial" w:hAnsi="Arial" w:cs="Arial"/>
        </w:rPr>
        <w:t xml:space="preserve"> </w:t>
      </w:r>
      <w:r w:rsidRPr="000F68B3">
        <w:rPr>
          <w:rFonts w:ascii="Arial" w:hAnsi="Arial" w:cs="Arial"/>
        </w:rPr>
        <w:t>a good understanding of the measures required to control the risk</w:t>
      </w:r>
      <w:r w:rsidR="00DB6B4D" w:rsidRPr="000F68B3">
        <w:rPr>
          <w:rFonts w:ascii="Arial" w:hAnsi="Arial" w:cs="Arial"/>
        </w:rPr>
        <w:t>s</w:t>
      </w:r>
      <w:r w:rsidRPr="000F68B3">
        <w:rPr>
          <w:rFonts w:ascii="Arial" w:hAnsi="Arial" w:cs="Arial"/>
        </w:rPr>
        <w:t xml:space="preserve"> and adopt safe working practices. </w:t>
      </w:r>
      <w:r w:rsidR="00980DE2" w:rsidRPr="000F68B3">
        <w:rPr>
          <w:rFonts w:ascii="Arial" w:hAnsi="Arial" w:cs="Arial"/>
        </w:rPr>
        <w:t xml:space="preserve">They should also be aware of the measures to take should exposure to blood or body fluids occur.  </w:t>
      </w:r>
    </w:p>
    <w:p w:rsidR="00933424" w:rsidRPr="00933424" w:rsidRDefault="00933424" w:rsidP="006A3249">
      <w:pPr>
        <w:rPr>
          <w:rFonts w:ascii="Arial" w:hAnsi="Arial" w:cs="Arial"/>
        </w:rPr>
      </w:pPr>
    </w:p>
    <w:p w:rsidR="00975CDE" w:rsidRDefault="00AC6AE4" w:rsidP="006A3249">
      <w:pPr>
        <w:numPr>
          <w:ilvl w:val="0"/>
          <w:numId w:val="6"/>
        </w:numPr>
        <w:ind w:left="360"/>
        <w:rPr>
          <w:rFonts w:ascii="Arial" w:hAnsi="Arial" w:cs="Arial"/>
        </w:rPr>
      </w:pPr>
      <w:r>
        <w:rPr>
          <w:rFonts w:ascii="Arial" w:hAnsi="Arial" w:cs="Arial"/>
        </w:rPr>
        <w:t>T</w:t>
      </w:r>
      <w:r w:rsidR="00933424" w:rsidRPr="00933424">
        <w:rPr>
          <w:rFonts w:ascii="Arial" w:hAnsi="Arial" w:cs="Arial"/>
        </w:rPr>
        <w:t xml:space="preserve">hese collective control measures and safe working practices will reduce the likelihood of exposure to HG3 </w:t>
      </w:r>
      <w:r w:rsidR="00DB6B4D">
        <w:rPr>
          <w:rFonts w:ascii="Arial" w:hAnsi="Arial" w:cs="Arial"/>
        </w:rPr>
        <w:t>BBVs</w:t>
      </w:r>
      <w:r w:rsidR="00933424" w:rsidRPr="00933424">
        <w:rPr>
          <w:rFonts w:ascii="Arial" w:hAnsi="Arial" w:cs="Arial"/>
        </w:rPr>
        <w:t xml:space="preserve"> from the deceased to the person carrying out the embalming</w:t>
      </w:r>
      <w:r w:rsidR="00975CDE">
        <w:rPr>
          <w:rFonts w:ascii="Arial" w:hAnsi="Arial" w:cs="Arial"/>
        </w:rPr>
        <w:t xml:space="preserve"> or post mortem examination</w:t>
      </w:r>
      <w:r w:rsidR="00933424" w:rsidRPr="00933424">
        <w:rPr>
          <w:rFonts w:ascii="Arial" w:hAnsi="Arial" w:cs="Arial"/>
        </w:rPr>
        <w:t xml:space="preserve">.  </w:t>
      </w:r>
      <w:r w:rsidR="00975CDE" w:rsidRPr="00B50CB1">
        <w:rPr>
          <w:rFonts w:ascii="Arial" w:hAnsi="Arial" w:cs="Arial"/>
        </w:rPr>
        <w:t xml:space="preserve">However, </w:t>
      </w:r>
      <w:r w:rsidR="00980DE2" w:rsidRPr="00B50CB1">
        <w:rPr>
          <w:rFonts w:ascii="Arial" w:hAnsi="Arial" w:cs="Arial"/>
        </w:rPr>
        <w:t xml:space="preserve">it will be necessary to undertake </w:t>
      </w:r>
      <w:r w:rsidR="00975CDE" w:rsidRPr="00B50CB1">
        <w:rPr>
          <w:rFonts w:ascii="Arial" w:hAnsi="Arial" w:cs="Arial"/>
        </w:rPr>
        <w:t>a risk assessment for each body to determine if there are any other risks</w:t>
      </w:r>
      <w:r w:rsidR="00A709B5" w:rsidRPr="00B50CB1">
        <w:rPr>
          <w:rFonts w:ascii="Arial" w:hAnsi="Arial" w:cs="Arial"/>
        </w:rPr>
        <w:t xml:space="preserve">.  If the risk assessment concludes that the risks cannot be controlled effectively, then </w:t>
      </w:r>
      <w:r w:rsidR="00975CDE" w:rsidRPr="00B50CB1">
        <w:rPr>
          <w:rFonts w:ascii="Arial" w:hAnsi="Arial" w:cs="Arial"/>
        </w:rPr>
        <w:t>the procedure</w:t>
      </w:r>
      <w:r w:rsidR="006F547F" w:rsidRPr="00B50CB1">
        <w:rPr>
          <w:rFonts w:ascii="Arial" w:hAnsi="Arial" w:cs="Arial"/>
        </w:rPr>
        <w:t xml:space="preserve"> should not </w:t>
      </w:r>
      <w:r w:rsidR="00975CDE" w:rsidRPr="00B50CB1">
        <w:rPr>
          <w:rFonts w:ascii="Arial" w:hAnsi="Arial" w:cs="Arial"/>
        </w:rPr>
        <w:t>be carried out.</w:t>
      </w:r>
    </w:p>
    <w:p w:rsidR="00975CDE" w:rsidRDefault="00975CDE" w:rsidP="00975CDE">
      <w:pPr>
        <w:pStyle w:val="ListParagraph"/>
        <w:rPr>
          <w:rFonts w:ascii="Arial" w:hAnsi="Arial" w:cs="Arial"/>
        </w:rPr>
      </w:pPr>
    </w:p>
    <w:p w:rsidR="00933424" w:rsidRPr="00933424" w:rsidRDefault="00975CDE" w:rsidP="006A3249">
      <w:pPr>
        <w:numPr>
          <w:ilvl w:val="0"/>
          <w:numId w:val="6"/>
        </w:numPr>
        <w:ind w:left="360"/>
        <w:rPr>
          <w:rFonts w:ascii="Arial" w:hAnsi="Arial" w:cs="Arial"/>
        </w:rPr>
      </w:pPr>
      <w:r>
        <w:rPr>
          <w:rFonts w:ascii="Arial" w:hAnsi="Arial" w:cs="Arial"/>
        </w:rPr>
        <w:t>If exposure should</w:t>
      </w:r>
      <w:r w:rsidR="00933424" w:rsidRPr="00933424">
        <w:rPr>
          <w:rFonts w:ascii="Arial" w:hAnsi="Arial" w:cs="Arial"/>
        </w:rPr>
        <w:t xml:space="preserve"> occur, the</w:t>
      </w:r>
      <w:r w:rsidR="00A709B5">
        <w:rPr>
          <w:rFonts w:ascii="Arial" w:hAnsi="Arial" w:cs="Arial"/>
        </w:rPr>
        <w:t xml:space="preserve"> revised</w:t>
      </w:r>
      <w:r w:rsidR="00933424" w:rsidRPr="00933424">
        <w:rPr>
          <w:rFonts w:ascii="Arial" w:hAnsi="Arial" w:cs="Arial"/>
        </w:rPr>
        <w:t xml:space="preserve"> guidance needs to explain the requirement for suitable protocols for access to post-exposure prophylaxis (PEP).  PEP is any preventative medical treatment started immediately after exposure to a</w:t>
      </w:r>
      <w:r w:rsidR="00F66288">
        <w:rPr>
          <w:rFonts w:ascii="Arial" w:hAnsi="Arial" w:cs="Arial"/>
        </w:rPr>
        <w:t xml:space="preserve"> pathogen</w:t>
      </w:r>
      <w:r w:rsidR="00933424" w:rsidRPr="00933424">
        <w:rPr>
          <w:rFonts w:ascii="Arial" w:hAnsi="Arial" w:cs="Arial"/>
        </w:rPr>
        <w:t xml:space="preserve"> (such as</w:t>
      </w:r>
      <w:r w:rsidR="00F66288">
        <w:rPr>
          <w:rFonts w:ascii="Arial" w:hAnsi="Arial" w:cs="Arial"/>
        </w:rPr>
        <w:t xml:space="preserve"> a</w:t>
      </w:r>
      <w:r w:rsidR="00933424" w:rsidRPr="00933424">
        <w:rPr>
          <w:rFonts w:ascii="Arial" w:hAnsi="Arial" w:cs="Arial"/>
        </w:rPr>
        <w:t xml:space="preserve"> disease-causing virus) in order to prevent infection by the pathogen and development of the disease.  </w:t>
      </w:r>
      <w:r>
        <w:rPr>
          <w:rFonts w:ascii="Arial" w:hAnsi="Arial" w:cs="Arial"/>
        </w:rPr>
        <w:t xml:space="preserve">The </w:t>
      </w:r>
      <w:r w:rsidR="00933424" w:rsidRPr="00933424">
        <w:rPr>
          <w:rFonts w:ascii="Arial" w:hAnsi="Arial" w:cs="Arial"/>
        </w:rPr>
        <w:t>PEP is usually administered through an occupational health service, if this is not available, the nearest accident and emergency department.  The healthcare professional will assess th</w:t>
      </w:r>
      <w:r w:rsidR="00DB6B4D">
        <w:rPr>
          <w:rFonts w:ascii="Arial" w:hAnsi="Arial" w:cs="Arial"/>
        </w:rPr>
        <w:t xml:space="preserve">e exposure incident and decide if a </w:t>
      </w:r>
      <w:r w:rsidR="00933424" w:rsidRPr="00933424">
        <w:rPr>
          <w:rFonts w:ascii="Arial" w:hAnsi="Arial" w:cs="Arial"/>
        </w:rPr>
        <w:t>course of treatment is required.</w:t>
      </w:r>
    </w:p>
    <w:p w:rsidR="00933424" w:rsidRPr="00933424" w:rsidRDefault="00933424" w:rsidP="00933424">
      <w:pPr>
        <w:rPr>
          <w:rFonts w:ascii="Arial" w:hAnsi="Arial" w:cs="Arial"/>
        </w:rPr>
      </w:pPr>
    </w:p>
    <w:p w:rsidR="00933424" w:rsidRPr="00933424" w:rsidRDefault="00933424" w:rsidP="00933424">
      <w:pPr>
        <w:rPr>
          <w:rFonts w:ascii="Arial" w:hAnsi="Arial" w:cs="Arial"/>
          <w:b/>
        </w:rPr>
      </w:pPr>
      <w:r w:rsidRPr="00933424">
        <w:rPr>
          <w:rFonts w:ascii="Arial" w:hAnsi="Arial" w:cs="Arial"/>
          <w:b/>
        </w:rPr>
        <w:t>Funeral industry</w:t>
      </w:r>
    </w:p>
    <w:p w:rsidR="00933424" w:rsidRPr="00933424" w:rsidRDefault="00933424" w:rsidP="00933424">
      <w:pPr>
        <w:rPr>
          <w:rFonts w:ascii="Arial" w:hAnsi="Arial" w:cs="Arial"/>
        </w:rPr>
      </w:pPr>
    </w:p>
    <w:p w:rsidR="00933424" w:rsidRPr="00933424" w:rsidRDefault="00933424" w:rsidP="006A3249">
      <w:pPr>
        <w:numPr>
          <w:ilvl w:val="0"/>
          <w:numId w:val="6"/>
        </w:numPr>
        <w:ind w:left="360"/>
        <w:rPr>
          <w:rFonts w:ascii="Arial" w:hAnsi="Arial" w:cs="Arial"/>
        </w:rPr>
      </w:pPr>
      <w:r w:rsidRPr="00933424">
        <w:rPr>
          <w:rFonts w:ascii="Arial" w:hAnsi="Arial" w:cs="Arial"/>
        </w:rPr>
        <w:t xml:space="preserve">The funeral industry does not operate </w:t>
      </w:r>
      <w:r w:rsidR="00DB6B4D">
        <w:rPr>
          <w:rFonts w:ascii="Arial" w:hAnsi="Arial" w:cs="Arial"/>
        </w:rPr>
        <w:t>under any accreditation scheme</w:t>
      </w:r>
      <w:r w:rsidR="00980DE2">
        <w:rPr>
          <w:rFonts w:ascii="Arial" w:hAnsi="Arial" w:cs="Arial"/>
        </w:rPr>
        <w:t xml:space="preserve"> </w:t>
      </w:r>
      <w:r w:rsidR="00975CDE">
        <w:rPr>
          <w:rFonts w:ascii="Arial" w:hAnsi="Arial" w:cs="Arial"/>
        </w:rPr>
        <w:t>which means</w:t>
      </w:r>
      <w:r w:rsidRPr="00933424">
        <w:rPr>
          <w:rFonts w:ascii="Arial" w:hAnsi="Arial" w:cs="Arial"/>
        </w:rPr>
        <w:t xml:space="preserve"> standards will vary significantly. There are also a large proportion of small to medium businesses operating as funeral directors and it is understood that many premises will not be suitable to carry out embalming on the deceased </w:t>
      </w:r>
      <w:r w:rsidR="00DB6B4D">
        <w:rPr>
          <w:rFonts w:ascii="Arial" w:hAnsi="Arial" w:cs="Arial"/>
        </w:rPr>
        <w:t>with</w:t>
      </w:r>
      <w:r w:rsidRPr="00933424">
        <w:rPr>
          <w:rFonts w:ascii="Arial" w:hAnsi="Arial" w:cs="Arial"/>
        </w:rPr>
        <w:t xml:space="preserve"> known </w:t>
      </w:r>
      <w:r w:rsidR="00DB6B4D">
        <w:rPr>
          <w:rFonts w:ascii="Arial" w:hAnsi="Arial" w:cs="Arial"/>
        </w:rPr>
        <w:t xml:space="preserve">or suspected </w:t>
      </w:r>
      <w:r w:rsidRPr="00933424">
        <w:rPr>
          <w:rFonts w:ascii="Arial" w:hAnsi="Arial" w:cs="Arial"/>
        </w:rPr>
        <w:t xml:space="preserve">HG3 </w:t>
      </w:r>
      <w:r w:rsidR="00DB6B4D">
        <w:rPr>
          <w:rFonts w:ascii="Arial" w:hAnsi="Arial" w:cs="Arial"/>
        </w:rPr>
        <w:t>BBVs</w:t>
      </w:r>
      <w:r w:rsidR="00975CDE">
        <w:rPr>
          <w:rFonts w:ascii="Arial" w:hAnsi="Arial" w:cs="Arial"/>
        </w:rPr>
        <w:t xml:space="preserve"> present</w:t>
      </w:r>
      <w:r w:rsidRPr="00933424">
        <w:rPr>
          <w:rFonts w:ascii="Arial" w:hAnsi="Arial" w:cs="Arial"/>
        </w:rPr>
        <w:t xml:space="preserve">.  </w:t>
      </w:r>
    </w:p>
    <w:p w:rsidR="00933424" w:rsidRPr="00933424" w:rsidRDefault="00933424" w:rsidP="006A3249">
      <w:pPr>
        <w:rPr>
          <w:rFonts w:ascii="Arial" w:hAnsi="Arial" w:cs="Arial"/>
        </w:rPr>
      </w:pPr>
    </w:p>
    <w:p w:rsidR="00933424" w:rsidRPr="00975CDE" w:rsidRDefault="00933424" w:rsidP="006A3249">
      <w:pPr>
        <w:numPr>
          <w:ilvl w:val="0"/>
          <w:numId w:val="6"/>
        </w:numPr>
        <w:ind w:left="360"/>
        <w:rPr>
          <w:rFonts w:ascii="Arial" w:hAnsi="Arial" w:cs="Arial"/>
        </w:rPr>
      </w:pPr>
      <w:r w:rsidRPr="000F68B3">
        <w:rPr>
          <w:rFonts w:ascii="Arial" w:hAnsi="Arial" w:cs="Arial"/>
        </w:rPr>
        <w:t xml:space="preserve">To change the guidance to allow embalming of the deceased with HG3 </w:t>
      </w:r>
      <w:r w:rsidR="00DB6B4D" w:rsidRPr="000F68B3">
        <w:rPr>
          <w:rFonts w:ascii="Arial" w:hAnsi="Arial" w:cs="Arial"/>
        </w:rPr>
        <w:t>BBVs</w:t>
      </w:r>
      <w:r w:rsidRPr="000F68B3">
        <w:rPr>
          <w:rFonts w:ascii="Arial" w:hAnsi="Arial" w:cs="Arial"/>
        </w:rPr>
        <w:t xml:space="preserve"> </w:t>
      </w:r>
      <w:r w:rsidR="00DB6B4D" w:rsidRPr="000F68B3">
        <w:rPr>
          <w:rFonts w:ascii="Arial" w:hAnsi="Arial" w:cs="Arial"/>
        </w:rPr>
        <w:t xml:space="preserve">where the </w:t>
      </w:r>
      <w:r w:rsidR="00975CDE" w:rsidRPr="000F68B3">
        <w:rPr>
          <w:rFonts w:ascii="Arial" w:hAnsi="Arial" w:cs="Arial"/>
        </w:rPr>
        <w:t xml:space="preserve">safe working practices can be </w:t>
      </w:r>
      <w:r w:rsidR="00DB6B4D" w:rsidRPr="000F68B3">
        <w:rPr>
          <w:rFonts w:ascii="Arial" w:hAnsi="Arial" w:cs="Arial"/>
        </w:rPr>
        <w:t xml:space="preserve">met </w:t>
      </w:r>
      <w:r w:rsidRPr="000F68B3">
        <w:rPr>
          <w:rFonts w:ascii="Arial" w:hAnsi="Arial" w:cs="Arial"/>
        </w:rPr>
        <w:t>will not mean that all funeral directors/embalmers will be able to carry out these procedures</w:t>
      </w:r>
      <w:r w:rsidR="006F547F" w:rsidRPr="000F68B3">
        <w:rPr>
          <w:rFonts w:ascii="Arial" w:hAnsi="Arial" w:cs="Arial"/>
        </w:rPr>
        <w:t xml:space="preserve"> without making changes to their current facilities and working practices</w:t>
      </w:r>
      <w:r w:rsidRPr="000F68B3">
        <w:rPr>
          <w:rFonts w:ascii="Arial" w:hAnsi="Arial" w:cs="Arial"/>
        </w:rPr>
        <w:t>.</w:t>
      </w:r>
      <w:r w:rsidRPr="00975CDE">
        <w:rPr>
          <w:rFonts w:ascii="Arial" w:hAnsi="Arial" w:cs="Arial"/>
        </w:rPr>
        <w:t xml:space="preserve">  The situation may arise where the funeral director refers the body to an embalmer who has access to a suitable facility, is appropriately trained and can carry out the procedure using safe working practices.  </w:t>
      </w:r>
    </w:p>
    <w:p w:rsidR="00933424" w:rsidRPr="00933424" w:rsidRDefault="00933424" w:rsidP="006A3249">
      <w:pPr>
        <w:rPr>
          <w:rFonts w:ascii="Arial" w:hAnsi="Arial" w:cs="Arial"/>
        </w:rPr>
      </w:pPr>
    </w:p>
    <w:p w:rsidR="00933424" w:rsidRPr="00933424" w:rsidRDefault="00933424" w:rsidP="006A3249">
      <w:pPr>
        <w:numPr>
          <w:ilvl w:val="0"/>
          <w:numId w:val="6"/>
        </w:numPr>
        <w:ind w:left="360"/>
        <w:rPr>
          <w:rFonts w:ascii="Arial" w:hAnsi="Arial" w:cs="Arial"/>
        </w:rPr>
      </w:pPr>
      <w:r w:rsidRPr="00933424">
        <w:rPr>
          <w:rFonts w:ascii="Arial" w:hAnsi="Arial" w:cs="Arial"/>
        </w:rPr>
        <w:t>The measures under Option 3 represent a permissive change</w:t>
      </w:r>
      <w:r w:rsidR="00DB6B4D">
        <w:rPr>
          <w:rFonts w:ascii="Arial" w:hAnsi="Arial" w:cs="Arial"/>
        </w:rPr>
        <w:t xml:space="preserve"> – the changes to the guidance </w:t>
      </w:r>
      <w:r w:rsidRPr="00933424">
        <w:rPr>
          <w:rFonts w:ascii="Arial" w:hAnsi="Arial" w:cs="Arial"/>
        </w:rPr>
        <w:t xml:space="preserve">do not compel or require businesses or workers to do anything different from now; they merely </w:t>
      </w:r>
      <w:r w:rsidR="00980DE2">
        <w:rPr>
          <w:rFonts w:ascii="Arial" w:hAnsi="Arial" w:cs="Arial"/>
        </w:rPr>
        <w:t xml:space="preserve">provide </w:t>
      </w:r>
      <w:r w:rsidRPr="00933424">
        <w:rPr>
          <w:rFonts w:ascii="Arial" w:hAnsi="Arial" w:cs="Arial"/>
        </w:rPr>
        <w:t xml:space="preserve">flexibility to embalm the deceased with known </w:t>
      </w:r>
      <w:r w:rsidR="00975CDE">
        <w:rPr>
          <w:rFonts w:ascii="Arial" w:hAnsi="Arial" w:cs="Arial"/>
        </w:rPr>
        <w:t xml:space="preserve">or suspected </w:t>
      </w:r>
      <w:r w:rsidRPr="00933424">
        <w:rPr>
          <w:rFonts w:ascii="Arial" w:hAnsi="Arial" w:cs="Arial"/>
        </w:rPr>
        <w:t>HG3 BBVs</w:t>
      </w:r>
      <w:r w:rsidR="00C70BC9">
        <w:rPr>
          <w:rFonts w:ascii="Arial" w:hAnsi="Arial" w:cs="Arial"/>
        </w:rPr>
        <w:t xml:space="preserve"> s</w:t>
      </w:r>
      <w:r w:rsidRPr="00933424">
        <w:rPr>
          <w:rFonts w:ascii="Arial" w:hAnsi="Arial" w:cs="Arial"/>
        </w:rPr>
        <w:t>afely. As such, we may assume that any business that chooses would only do so if the benefits in terms of income from providing the service were greater than the costs in terms of facilitie</w:t>
      </w:r>
      <w:r w:rsidR="00C70BC9">
        <w:rPr>
          <w:rFonts w:ascii="Arial" w:hAnsi="Arial" w:cs="Arial"/>
        </w:rPr>
        <w:t xml:space="preserve">s, </w:t>
      </w:r>
      <w:r w:rsidRPr="00933424">
        <w:rPr>
          <w:rFonts w:ascii="Arial" w:hAnsi="Arial" w:cs="Arial"/>
        </w:rPr>
        <w:t xml:space="preserve">PPE and time. </w:t>
      </w:r>
    </w:p>
    <w:p w:rsidR="00933424" w:rsidRPr="00933424" w:rsidRDefault="00933424" w:rsidP="006A3249">
      <w:pPr>
        <w:rPr>
          <w:rFonts w:ascii="Arial" w:hAnsi="Arial" w:cs="Arial"/>
        </w:rPr>
      </w:pPr>
    </w:p>
    <w:p w:rsidR="00933424" w:rsidRPr="00933424" w:rsidRDefault="00933424" w:rsidP="006A3249">
      <w:pPr>
        <w:numPr>
          <w:ilvl w:val="0"/>
          <w:numId w:val="6"/>
        </w:numPr>
        <w:ind w:left="360"/>
        <w:rPr>
          <w:rFonts w:ascii="Arial" w:hAnsi="Arial" w:cs="Arial"/>
        </w:rPr>
      </w:pPr>
      <w:r w:rsidRPr="00933424">
        <w:rPr>
          <w:rFonts w:ascii="Arial" w:hAnsi="Arial" w:cs="Arial"/>
        </w:rPr>
        <w:t>By way of illustration, HSE</w:t>
      </w:r>
      <w:r w:rsidR="00975CDE">
        <w:rPr>
          <w:rFonts w:ascii="Arial" w:hAnsi="Arial" w:cs="Arial"/>
        </w:rPr>
        <w:t xml:space="preserve"> have estimated the costs to</w:t>
      </w:r>
      <w:r w:rsidRPr="00933424">
        <w:rPr>
          <w:rFonts w:ascii="Arial" w:hAnsi="Arial" w:cs="Arial"/>
        </w:rPr>
        <w:t xml:space="preserve"> business of upgrading their facilities and performing an embalming</w:t>
      </w:r>
      <w:r w:rsidR="00C70BC9">
        <w:rPr>
          <w:rFonts w:ascii="Arial" w:hAnsi="Arial" w:cs="Arial"/>
        </w:rPr>
        <w:t xml:space="preserve"> procedure</w:t>
      </w:r>
      <w:r w:rsidRPr="00933424">
        <w:rPr>
          <w:rFonts w:ascii="Arial" w:hAnsi="Arial" w:cs="Arial"/>
        </w:rPr>
        <w:t xml:space="preserve"> on the deceased with</w:t>
      </w:r>
      <w:r w:rsidR="00C70BC9">
        <w:rPr>
          <w:rFonts w:ascii="Arial" w:hAnsi="Arial" w:cs="Arial"/>
        </w:rPr>
        <w:t xml:space="preserve"> a HG3 BBV over-and-above the costs of an </w:t>
      </w:r>
      <w:r w:rsidRPr="00933424">
        <w:rPr>
          <w:rFonts w:ascii="Arial" w:hAnsi="Arial" w:cs="Arial"/>
        </w:rPr>
        <w:t xml:space="preserve">embalming </w:t>
      </w:r>
      <w:r w:rsidR="00C70BC9">
        <w:rPr>
          <w:rFonts w:ascii="Arial" w:hAnsi="Arial" w:cs="Arial"/>
        </w:rPr>
        <w:t>procedure on a</w:t>
      </w:r>
      <w:r w:rsidRPr="00933424">
        <w:rPr>
          <w:rFonts w:ascii="Arial" w:hAnsi="Arial" w:cs="Arial"/>
        </w:rPr>
        <w:t xml:space="preserve"> body without infection. </w:t>
      </w:r>
    </w:p>
    <w:p w:rsidR="00933424" w:rsidRPr="00933424" w:rsidRDefault="00933424" w:rsidP="00933424">
      <w:pPr>
        <w:rPr>
          <w:rFonts w:ascii="Arial" w:hAnsi="Arial" w:cs="Arial"/>
        </w:rPr>
      </w:pPr>
    </w:p>
    <w:p w:rsidR="00933424" w:rsidRDefault="00933424" w:rsidP="00933424">
      <w:pPr>
        <w:rPr>
          <w:rFonts w:ascii="Arial" w:hAnsi="Arial" w:cs="Arial"/>
          <w:b/>
        </w:rPr>
      </w:pPr>
      <w:r w:rsidRPr="00933424">
        <w:rPr>
          <w:rFonts w:ascii="Arial" w:hAnsi="Arial" w:cs="Arial"/>
          <w:b/>
        </w:rPr>
        <w:t>Facilities</w:t>
      </w:r>
    </w:p>
    <w:p w:rsidR="00933424" w:rsidRPr="00933424" w:rsidRDefault="00933424" w:rsidP="00933424">
      <w:pPr>
        <w:rPr>
          <w:rFonts w:ascii="Arial" w:hAnsi="Arial" w:cs="Arial"/>
          <w:b/>
        </w:rPr>
      </w:pPr>
    </w:p>
    <w:p w:rsidR="00933424" w:rsidRPr="00FE1954" w:rsidRDefault="00933424" w:rsidP="006A3249">
      <w:pPr>
        <w:numPr>
          <w:ilvl w:val="0"/>
          <w:numId w:val="6"/>
        </w:numPr>
        <w:ind w:left="360"/>
        <w:rPr>
          <w:rFonts w:ascii="Arial" w:hAnsi="Arial" w:cs="Arial"/>
        </w:rPr>
      </w:pPr>
      <w:r w:rsidRPr="00FE1954">
        <w:rPr>
          <w:rFonts w:ascii="Arial" w:hAnsi="Arial" w:cs="Arial"/>
        </w:rPr>
        <w:t xml:space="preserve">Businesses will choose to upgrade their facilities only if they wish to carry out embalming on the deceased with HG3 </w:t>
      </w:r>
      <w:r w:rsidR="00C70BC9" w:rsidRPr="00FE1954">
        <w:rPr>
          <w:rFonts w:ascii="Arial" w:hAnsi="Arial" w:cs="Arial"/>
        </w:rPr>
        <w:t>BBVs and</w:t>
      </w:r>
      <w:r w:rsidRPr="00FE1954">
        <w:rPr>
          <w:rFonts w:ascii="Arial" w:hAnsi="Arial" w:cs="Arial"/>
        </w:rPr>
        <w:t xml:space="preserve"> in some cases, existing facilities may already be </w:t>
      </w:r>
      <w:r w:rsidR="00C70BC9" w:rsidRPr="00FE1954">
        <w:rPr>
          <w:rFonts w:ascii="Arial" w:hAnsi="Arial" w:cs="Arial"/>
        </w:rPr>
        <w:t>suitable</w:t>
      </w:r>
      <w:r w:rsidRPr="00FE1954">
        <w:rPr>
          <w:rFonts w:ascii="Arial" w:hAnsi="Arial" w:cs="Arial"/>
        </w:rPr>
        <w:t>. Based on interviews with the funeral sector, it is e</w:t>
      </w:r>
      <w:r w:rsidR="00C70BC9" w:rsidRPr="00FE1954">
        <w:rPr>
          <w:rFonts w:ascii="Arial" w:hAnsi="Arial" w:cs="Arial"/>
        </w:rPr>
        <w:t>stimated that a full facility</w:t>
      </w:r>
      <w:r w:rsidRPr="00FE1954">
        <w:rPr>
          <w:rFonts w:ascii="Arial" w:hAnsi="Arial" w:cs="Arial"/>
        </w:rPr>
        <w:t xml:space="preserve"> upgrade, including mechanical ventilation, impermeable surfaces and washing and decontamination facilities might incur a one-</w:t>
      </w:r>
      <w:r w:rsidR="00C70BC9" w:rsidRPr="00FE1954">
        <w:rPr>
          <w:rFonts w:ascii="Arial" w:hAnsi="Arial" w:cs="Arial"/>
        </w:rPr>
        <w:t xml:space="preserve">off </w:t>
      </w:r>
      <w:r w:rsidRPr="00FE1954">
        <w:rPr>
          <w:rFonts w:ascii="Arial" w:hAnsi="Arial" w:cs="Arial"/>
        </w:rPr>
        <w:t>cost between around £9 thousand and £11 thousand per site, with a best estimate of around £10 thousand. In addition, ongoing maintenance and upkeep of the ventilation system would cost around £200 per annum. However, this would be a discretionary expenditure on the part of funeral directors and embalmers – they would only choose to spend it if it was in their interest.</w:t>
      </w:r>
    </w:p>
    <w:p w:rsidR="00933424" w:rsidRPr="00933424" w:rsidRDefault="00933424" w:rsidP="006A3249">
      <w:pPr>
        <w:rPr>
          <w:rFonts w:ascii="Arial" w:hAnsi="Arial" w:cs="Arial"/>
        </w:rPr>
      </w:pPr>
    </w:p>
    <w:p w:rsidR="00933424" w:rsidRDefault="00933424" w:rsidP="006A3249">
      <w:pPr>
        <w:ind w:left="-360" w:firstLine="360"/>
        <w:rPr>
          <w:rFonts w:ascii="Arial" w:hAnsi="Arial" w:cs="Arial"/>
          <w:b/>
        </w:rPr>
      </w:pPr>
      <w:r w:rsidRPr="00933424">
        <w:rPr>
          <w:rFonts w:ascii="Arial" w:hAnsi="Arial" w:cs="Arial"/>
          <w:b/>
        </w:rPr>
        <w:t>Personal Protective Equipment (PPE)</w:t>
      </w:r>
    </w:p>
    <w:p w:rsidR="00933424" w:rsidRPr="00933424" w:rsidRDefault="00933424" w:rsidP="006A3249">
      <w:pPr>
        <w:rPr>
          <w:rFonts w:ascii="Arial" w:hAnsi="Arial" w:cs="Arial"/>
          <w:b/>
        </w:rPr>
      </w:pPr>
    </w:p>
    <w:p w:rsidR="00933424" w:rsidRPr="00933424" w:rsidRDefault="00933424" w:rsidP="006A3249">
      <w:pPr>
        <w:numPr>
          <w:ilvl w:val="0"/>
          <w:numId w:val="6"/>
        </w:numPr>
        <w:ind w:left="360"/>
        <w:rPr>
          <w:rFonts w:ascii="Arial" w:hAnsi="Arial" w:cs="Arial"/>
        </w:rPr>
      </w:pPr>
      <w:r w:rsidRPr="00933424">
        <w:rPr>
          <w:rFonts w:ascii="Arial" w:hAnsi="Arial" w:cs="Arial"/>
        </w:rPr>
        <w:t xml:space="preserve">As explained in </w:t>
      </w:r>
      <w:r w:rsidRPr="00176EC6">
        <w:rPr>
          <w:rFonts w:ascii="Arial" w:hAnsi="Arial" w:cs="Arial"/>
        </w:rPr>
        <w:t xml:space="preserve">paragraphs </w:t>
      </w:r>
      <w:r w:rsidR="00176EC6" w:rsidRPr="00176EC6">
        <w:rPr>
          <w:rFonts w:ascii="Arial" w:hAnsi="Arial" w:cs="Arial"/>
        </w:rPr>
        <w:t>40 and 41</w:t>
      </w:r>
      <w:r w:rsidRPr="00176EC6">
        <w:rPr>
          <w:rFonts w:ascii="Arial" w:hAnsi="Arial" w:cs="Arial"/>
        </w:rPr>
        <w:t>,</w:t>
      </w:r>
      <w:r w:rsidRPr="00933424">
        <w:rPr>
          <w:rFonts w:ascii="Arial" w:hAnsi="Arial" w:cs="Arial"/>
        </w:rPr>
        <w:t xml:space="preserve"> PPE is expected to be worn during embalming</w:t>
      </w:r>
      <w:r w:rsidR="00C70BC9">
        <w:rPr>
          <w:rFonts w:ascii="Arial" w:hAnsi="Arial" w:cs="Arial"/>
        </w:rPr>
        <w:t xml:space="preserve"> procedures</w:t>
      </w:r>
      <w:r w:rsidRPr="00933424">
        <w:rPr>
          <w:rFonts w:ascii="Arial" w:hAnsi="Arial" w:cs="Arial"/>
        </w:rPr>
        <w:t xml:space="preserve"> under the current guidance. This PPE can be divided into two groups: reusable and non-reusable PPE. Table 1 summarises the estimated costs of the PPE.</w:t>
      </w:r>
    </w:p>
    <w:p w:rsidR="00933424" w:rsidRPr="00933424" w:rsidRDefault="00933424" w:rsidP="00933424">
      <w:pPr>
        <w:rPr>
          <w:rFonts w:ascii="Arial" w:hAnsi="Arial" w:cs="Arial"/>
        </w:rPr>
      </w:pPr>
    </w:p>
    <w:p w:rsidR="00933424" w:rsidRPr="00FB69FC" w:rsidRDefault="00933424" w:rsidP="00933424">
      <w:pPr>
        <w:rPr>
          <w:rFonts w:ascii="Arial" w:hAnsi="Arial" w:cs="Arial"/>
          <w:b/>
        </w:rPr>
      </w:pPr>
      <w:r w:rsidRPr="00FB69FC">
        <w:rPr>
          <w:rFonts w:ascii="Arial" w:hAnsi="Arial" w:cs="Arial"/>
          <w:b/>
        </w:rPr>
        <w:t>Table 1: Summary of estimated costs of PPE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2027"/>
        <w:gridCol w:w="1701"/>
        <w:gridCol w:w="2352"/>
      </w:tblGrid>
      <w:tr w:rsidR="00B50CB1" w:rsidTr="00B50CB1">
        <w:tc>
          <w:tcPr>
            <w:tcW w:w="2154" w:type="pct"/>
            <w:tcBorders>
              <w:top w:val="nil"/>
              <w:left w:val="single" w:sz="4" w:space="0" w:color="FFFFFF"/>
              <w:bottom w:val="single" w:sz="4" w:space="0" w:color="FFFFFF"/>
              <w:right w:val="single" w:sz="4" w:space="0" w:color="auto"/>
            </w:tcBorders>
            <w:shd w:val="clear" w:color="auto" w:fill="auto"/>
          </w:tcPr>
          <w:p w:rsidR="00FB69FC" w:rsidRPr="00B50CB1" w:rsidRDefault="00FB69FC" w:rsidP="00933424">
            <w:pPr>
              <w:rPr>
                <w:rFonts w:ascii="Arial" w:hAnsi="Arial" w:cs="Arial"/>
              </w:rPr>
            </w:pPr>
          </w:p>
        </w:tc>
        <w:tc>
          <w:tcPr>
            <w:tcW w:w="2846" w:type="pct"/>
            <w:gridSpan w:val="3"/>
            <w:tcBorders>
              <w:left w:val="single" w:sz="4" w:space="0" w:color="auto"/>
              <w:bottom w:val="single" w:sz="4" w:space="0" w:color="auto"/>
            </w:tcBorders>
            <w:shd w:val="clear" w:color="auto" w:fill="BFBFBF"/>
          </w:tcPr>
          <w:p w:rsidR="00FB69FC" w:rsidRPr="00B50CB1" w:rsidRDefault="00FB69FC" w:rsidP="00B50CB1">
            <w:pPr>
              <w:jc w:val="center"/>
              <w:rPr>
                <w:rFonts w:ascii="Arial" w:hAnsi="Arial" w:cs="Arial"/>
                <w:b/>
              </w:rPr>
            </w:pPr>
            <w:r w:rsidRPr="00B50CB1">
              <w:rPr>
                <w:rFonts w:ascii="Arial" w:hAnsi="Arial" w:cs="Arial"/>
                <w:b/>
              </w:rPr>
              <w:t>Unit Cost</w:t>
            </w:r>
          </w:p>
        </w:tc>
      </w:tr>
      <w:tr w:rsidR="00B50CB1" w:rsidTr="00B50CB1">
        <w:tc>
          <w:tcPr>
            <w:tcW w:w="2154" w:type="pct"/>
            <w:tcBorders>
              <w:top w:val="single" w:sz="4" w:space="0" w:color="FFFFFF"/>
              <w:left w:val="single" w:sz="4" w:space="0" w:color="FFFFFF"/>
              <w:bottom w:val="nil"/>
              <w:right w:val="single" w:sz="4" w:space="0" w:color="auto"/>
            </w:tcBorders>
            <w:shd w:val="clear" w:color="auto" w:fill="auto"/>
          </w:tcPr>
          <w:p w:rsidR="00FB69FC" w:rsidRPr="00B50CB1" w:rsidRDefault="00FB69FC" w:rsidP="00933424">
            <w:pPr>
              <w:rPr>
                <w:rFonts w:ascii="Arial" w:hAnsi="Arial" w:cs="Arial"/>
                <w:b/>
              </w:rPr>
            </w:pPr>
          </w:p>
        </w:tc>
        <w:tc>
          <w:tcPr>
            <w:tcW w:w="949" w:type="pct"/>
            <w:tcBorders>
              <w:left w:val="single" w:sz="4" w:space="0" w:color="auto"/>
              <w:bottom w:val="single" w:sz="4" w:space="0" w:color="auto"/>
            </w:tcBorders>
            <w:shd w:val="clear" w:color="auto" w:fill="FFFF99"/>
          </w:tcPr>
          <w:p w:rsidR="00FB69FC" w:rsidRPr="00B50CB1" w:rsidRDefault="00FB69FC" w:rsidP="00B50CB1">
            <w:pPr>
              <w:jc w:val="center"/>
              <w:rPr>
                <w:rFonts w:ascii="Arial" w:hAnsi="Arial" w:cs="Arial"/>
                <w:b/>
              </w:rPr>
            </w:pPr>
            <w:r w:rsidRPr="00B50CB1">
              <w:rPr>
                <w:rFonts w:ascii="Arial" w:hAnsi="Arial" w:cs="Arial"/>
                <w:b/>
              </w:rPr>
              <w:t>Low</w:t>
            </w:r>
          </w:p>
        </w:tc>
        <w:tc>
          <w:tcPr>
            <w:tcW w:w="796" w:type="pct"/>
            <w:tcBorders>
              <w:bottom w:val="single" w:sz="4" w:space="0" w:color="auto"/>
            </w:tcBorders>
            <w:shd w:val="clear" w:color="auto" w:fill="FFFF99"/>
          </w:tcPr>
          <w:p w:rsidR="00FB69FC" w:rsidRPr="00B50CB1" w:rsidRDefault="00FB69FC" w:rsidP="00B50CB1">
            <w:pPr>
              <w:jc w:val="center"/>
              <w:rPr>
                <w:rFonts w:ascii="Arial" w:hAnsi="Arial" w:cs="Arial"/>
                <w:b/>
              </w:rPr>
            </w:pPr>
            <w:r w:rsidRPr="00B50CB1">
              <w:rPr>
                <w:rFonts w:ascii="Arial" w:hAnsi="Arial" w:cs="Arial"/>
                <w:b/>
              </w:rPr>
              <w:t>Likely</w:t>
            </w:r>
          </w:p>
        </w:tc>
        <w:tc>
          <w:tcPr>
            <w:tcW w:w="1101" w:type="pct"/>
            <w:tcBorders>
              <w:bottom w:val="single" w:sz="4" w:space="0" w:color="auto"/>
            </w:tcBorders>
            <w:shd w:val="clear" w:color="auto" w:fill="FFFF99"/>
          </w:tcPr>
          <w:p w:rsidR="00FB69FC" w:rsidRPr="00B50CB1" w:rsidRDefault="00FB69FC" w:rsidP="00B50CB1">
            <w:pPr>
              <w:jc w:val="center"/>
              <w:rPr>
                <w:rFonts w:ascii="Arial" w:hAnsi="Arial" w:cs="Arial"/>
                <w:b/>
              </w:rPr>
            </w:pPr>
            <w:r w:rsidRPr="00B50CB1">
              <w:rPr>
                <w:rFonts w:ascii="Arial" w:hAnsi="Arial" w:cs="Arial"/>
                <w:b/>
              </w:rPr>
              <w:t>High</w:t>
            </w:r>
          </w:p>
        </w:tc>
      </w:tr>
      <w:tr w:rsidR="00FB69FC" w:rsidTr="00B50CB1">
        <w:tc>
          <w:tcPr>
            <w:tcW w:w="5000" w:type="pct"/>
            <w:gridSpan w:val="4"/>
            <w:shd w:val="clear" w:color="auto" w:fill="95B3D7"/>
          </w:tcPr>
          <w:p w:rsidR="00FB69FC" w:rsidRPr="00B50CB1" w:rsidRDefault="00FB69FC" w:rsidP="00933424">
            <w:pPr>
              <w:rPr>
                <w:rFonts w:ascii="Arial" w:hAnsi="Arial" w:cs="Arial"/>
              </w:rPr>
            </w:pPr>
            <w:r w:rsidRPr="00B50CB1">
              <w:rPr>
                <w:rFonts w:ascii="Arial" w:hAnsi="Arial" w:cs="Arial"/>
                <w:b/>
              </w:rPr>
              <w:t>Reusable PPE</w:t>
            </w:r>
          </w:p>
        </w:tc>
      </w:tr>
      <w:tr w:rsidR="00FB69FC" w:rsidTr="00B50CB1">
        <w:tc>
          <w:tcPr>
            <w:tcW w:w="2154" w:type="pct"/>
            <w:shd w:val="clear" w:color="auto" w:fill="auto"/>
          </w:tcPr>
          <w:p w:rsidR="00FB69FC" w:rsidRPr="00B50CB1" w:rsidRDefault="00FB69FC" w:rsidP="00933424">
            <w:pPr>
              <w:rPr>
                <w:rFonts w:ascii="Arial" w:hAnsi="Arial" w:cs="Arial"/>
              </w:rPr>
            </w:pPr>
            <w:r w:rsidRPr="00B50CB1">
              <w:rPr>
                <w:rFonts w:ascii="Arial" w:hAnsi="Arial" w:cs="Arial"/>
              </w:rPr>
              <w:t>Surgical scrub suit</w:t>
            </w:r>
          </w:p>
        </w:tc>
        <w:tc>
          <w:tcPr>
            <w:tcW w:w="949" w:type="pct"/>
            <w:shd w:val="clear" w:color="auto" w:fill="auto"/>
          </w:tcPr>
          <w:p w:rsidR="00FB69FC" w:rsidRPr="00B50CB1" w:rsidRDefault="00FB69FC" w:rsidP="00933424">
            <w:pPr>
              <w:rPr>
                <w:rFonts w:ascii="Arial" w:hAnsi="Arial" w:cs="Arial"/>
              </w:rPr>
            </w:pPr>
            <w:r w:rsidRPr="00B50CB1">
              <w:rPr>
                <w:rFonts w:ascii="Arial" w:hAnsi="Arial" w:cs="Arial"/>
              </w:rPr>
              <w:t>£13.50</w:t>
            </w:r>
          </w:p>
        </w:tc>
        <w:tc>
          <w:tcPr>
            <w:tcW w:w="796" w:type="pct"/>
            <w:shd w:val="clear" w:color="auto" w:fill="auto"/>
          </w:tcPr>
          <w:p w:rsidR="00FB69FC" w:rsidRPr="00B50CB1" w:rsidRDefault="00FB69FC" w:rsidP="00933424">
            <w:pPr>
              <w:rPr>
                <w:rFonts w:ascii="Arial" w:hAnsi="Arial" w:cs="Arial"/>
              </w:rPr>
            </w:pPr>
            <w:r w:rsidRPr="00B50CB1">
              <w:rPr>
                <w:rFonts w:ascii="Arial" w:hAnsi="Arial" w:cs="Arial"/>
              </w:rPr>
              <w:t>£22.75</w:t>
            </w:r>
          </w:p>
        </w:tc>
        <w:tc>
          <w:tcPr>
            <w:tcW w:w="1101" w:type="pct"/>
            <w:shd w:val="clear" w:color="auto" w:fill="auto"/>
          </w:tcPr>
          <w:p w:rsidR="00FB69FC" w:rsidRPr="00B50CB1" w:rsidRDefault="00FB69FC" w:rsidP="00933424">
            <w:pPr>
              <w:rPr>
                <w:rFonts w:ascii="Arial" w:hAnsi="Arial" w:cs="Arial"/>
              </w:rPr>
            </w:pPr>
            <w:r w:rsidRPr="00B50CB1">
              <w:rPr>
                <w:rFonts w:ascii="Arial" w:hAnsi="Arial" w:cs="Arial"/>
              </w:rPr>
              <w:t>£32.00</w:t>
            </w:r>
          </w:p>
        </w:tc>
      </w:tr>
      <w:tr w:rsidR="00FB69FC" w:rsidTr="00B50CB1">
        <w:tc>
          <w:tcPr>
            <w:tcW w:w="2154" w:type="pct"/>
            <w:shd w:val="clear" w:color="auto" w:fill="auto"/>
          </w:tcPr>
          <w:p w:rsidR="00FB69FC" w:rsidRPr="00B50CB1" w:rsidRDefault="00FB69FC" w:rsidP="00933424">
            <w:pPr>
              <w:rPr>
                <w:rFonts w:ascii="Arial" w:hAnsi="Arial" w:cs="Arial"/>
              </w:rPr>
            </w:pPr>
            <w:r w:rsidRPr="00B50CB1">
              <w:rPr>
                <w:rFonts w:ascii="Arial" w:hAnsi="Arial" w:cs="Arial"/>
              </w:rPr>
              <w:t>Cut-proof gloves</w:t>
            </w:r>
          </w:p>
        </w:tc>
        <w:tc>
          <w:tcPr>
            <w:tcW w:w="949" w:type="pct"/>
            <w:shd w:val="clear" w:color="auto" w:fill="auto"/>
          </w:tcPr>
          <w:p w:rsidR="00FB69FC" w:rsidRPr="00B50CB1" w:rsidRDefault="00FB69FC" w:rsidP="00237B1A">
            <w:pPr>
              <w:rPr>
                <w:rFonts w:ascii="Arial" w:hAnsi="Arial" w:cs="Arial"/>
              </w:rPr>
            </w:pPr>
            <w:r w:rsidRPr="00B50CB1">
              <w:rPr>
                <w:rFonts w:ascii="Arial" w:hAnsi="Arial" w:cs="Arial"/>
              </w:rPr>
              <w:t>£13.50</w:t>
            </w:r>
          </w:p>
        </w:tc>
        <w:tc>
          <w:tcPr>
            <w:tcW w:w="796" w:type="pct"/>
            <w:shd w:val="clear" w:color="auto" w:fill="auto"/>
          </w:tcPr>
          <w:p w:rsidR="00FB69FC" w:rsidRPr="00B50CB1" w:rsidRDefault="00FB69FC" w:rsidP="00237B1A">
            <w:pPr>
              <w:rPr>
                <w:rFonts w:ascii="Arial" w:hAnsi="Arial" w:cs="Arial"/>
              </w:rPr>
            </w:pPr>
            <w:r w:rsidRPr="00B50CB1">
              <w:rPr>
                <w:rFonts w:ascii="Arial" w:hAnsi="Arial" w:cs="Arial"/>
              </w:rPr>
              <w:t>£15.00</w:t>
            </w:r>
          </w:p>
        </w:tc>
        <w:tc>
          <w:tcPr>
            <w:tcW w:w="1101" w:type="pct"/>
            <w:shd w:val="clear" w:color="auto" w:fill="auto"/>
          </w:tcPr>
          <w:p w:rsidR="00FB69FC" w:rsidRPr="00B50CB1" w:rsidRDefault="00FB69FC" w:rsidP="00237B1A">
            <w:pPr>
              <w:rPr>
                <w:rFonts w:ascii="Arial" w:hAnsi="Arial" w:cs="Arial"/>
              </w:rPr>
            </w:pPr>
            <w:r w:rsidRPr="00B50CB1">
              <w:rPr>
                <w:rFonts w:ascii="Arial" w:hAnsi="Arial" w:cs="Arial"/>
              </w:rPr>
              <w:t>£16.50</w:t>
            </w:r>
          </w:p>
        </w:tc>
      </w:tr>
      <w:tr w:rsidR="00FB69FC" w:rsidTr="00B50CB1">
        <w:tc>
          <w:tcPr>
            <w:tcW w:w="2154" w:type="pct"/>
            <w:tcBorders>
              <w:bottom w:val="single" w:sz="4" w:space="0" w:color="auto"/>
            </w:tcBorders>
            <w:shd w:val="clear" w:color="auto" w:fill="auto"/>
          </w:tcPr>
          <w:p w:rsidR="00FB69FC" w:rsidRPr="00B50CB1" w:rsidRDefault="00FB69FC" w:rsidP="00933424">
            <w:pPr>
              <w:rPr>
                <w:rFonts w:ascii="Arial" w:hAnsi="Arial" w:cs="Arial"/>
              </w:rPr>
            </w:pPr>
            <w:r w:rsidRPr="00B50CB1">
              <w:rPr>
                <w:rFonts w:ascii="Arial" w:hAnsi="Arial" w:cs="Arial"/>
              </w:rPr>
              <w:t>Rubber boots with reinforced toe caps</w:t>
            </w:r>
          </w:p>
        </w:tc>
        <w:tc>
          <w:tcPr>
            <w:tcW w:w="949" w:type="pct"/>
            <w:tcBorders>
              <w:bottom w:val="single" w:sz="4" w:space="0" w:color="auto"/>
            </w:tcBorders>
            <w:shd w:val="clear" w:color="auto" w:fill="auto"/>
          </w:tcPr>
          <w:p w:rsidR="00FB69FC" w:rsidRPr="00B50CB1" w:rsidRDefault="00FB69FC" w:rsidP="00237B1A">
            <w:pPr>
              <w:rPr>
                <w:rFonts w:ascii="Arial" w:hAnsi="Arial" w:cs="Arial"/>
              </w:rPr>
            </w:pPr>
            <w:r w:rsidRPr="00B50CB1">
              <w:rPr>
                <w:rFonts w:ascii="Arial" w:hAnsi="Arial" w:cs="Arial"/>
              </w:rPr>
              <w:t>£10.00</w:t>
            </w:r>
          </w:p>
        </w:tc>
        <w:tc>
          <w:tcPr>
            <w:tcW w:w="796" w:type="pct"/>
            <w:tcBorders>
              <w:bottom w:val="single" w:sz="4" w:space="0" w:color="auto"/>
            </w:tcBorders>
            <w:shd w:val="clear" w:color="auto" w:fill="auto"/>
          </w:tcPr>
          <w:p w:rsidR="00FB69FC" w:rsidRPr="00B50CB1" w:rsidRDefault="00FB69FC" w:rsidP="00FB69FC">
            <w:pPr>
              <w:rPr>
                <w:rFonts w:ascii="Arial" w:hAnsi="Arial" w:cs="Arial"/>
              </w:rPr>
            </w:pPr>
            <w:r w:rsidRPr="00B50CB1">
              <w:rPr>
                <w:rFonts w:ascii="Arial" w:hAnsi="Arial" w:cs="Arial"/>
              </w:rPr>
              <w:t>£14.50</w:t>
            </w:r>
          </w:p>
        </w:tc>
        <w:tc>
          <w:tcPr>
            <w:tcW w:w="1101" w:type="pct"/>
            <w:tcBorders>
              <w:bottom w:val="single" w:sz="4" w:space="0" w:color="auto"/>
            </w:tcBorders>
            <w:shd w:val="clear" w:color="auto" w:fill="auto"/>
          </w:tcPr>
          <w:p w:rsidR="00FB69FC" w:rsidRPr="00B50CB1" w:rsidRDefault="00FB69FC" w:rsidP="00237B1A">
            <w:pPr>
              <w:rPr>
                <w:rFonts w:ascii="Arial" w:hAnsi="Arial" w:cs="Arial"/>
              </w:rPr>
            </w:pPr>
            <w:r w:rsidRPr="00B50CB1">
              <w:rPr>
                <w:rFonts w:ascii="Arial" w:hAnsi="Arial" w:cs="Arial"/>
              </w:rPr>
              <w:t>£19.00</w:t>
            </w:r>
          </w:p>
        </w:tc>
      </w:tr>
      <w:tr w:rsidR="00FB69FC" w:rsidTr="00B50CB1">
        <w:tc>
          <w:tcPr>
            <w:tcW w:w="5000" w:type="pct"/>
            <w:gridSpan w:val="4"/>
            <w:shd w:val="clear" w:color="auto" w:fill="95B3D7"/>
          </w:tcPr>
          <w:p w:rsidR="00FB69FC" w:rsidRPr="00B50CB1" w:rsidRDefault="00FB69FC" w:rsidP="00237B1A">
            <w:pPr>
              <w:rPr>
                <w:rFonts w:ascii="Arial" w:hAnsi="Arial" w:cs="Arial"/>
                <w:b/>
              </w:rPr>
            </w:pPr>
            <w:r w:rsidRPr="00B50CB1">
              <w:rPr>
                <w:rFonts w:ascii="Arial" w:hAnsi="Arial" w:cs="Arial"/>
                <w:b/>
              </w:rPr>
              <w:t>Non-Reusable PPE</w:t>
            </w:r>
          </w:p>
        </w:tc>
      </w:tr>
      <w:tr w:rsidR="00FB69FC" w:rsidTr="00B50CB1">
        <w:tc>
          <w:tcPr>
            <w:tcW w:w="2154" w:type="pct"/>
            <w:shd w:val="clear" w:color="auto" w:fill="auto"/>
          </w:tcPr>
          <w:p w:rsidR="00FB69FC" w:rsidRPr="00B50CB1" w:rsidRDefault="00FB69FC" w:rsidP="00933424">
            <w:pPr>
              <w:rPr>
                <w:rFonts w:ascii="Arial" w:hAnsi="Arial" w:cs="Arial"/>
              </w:rPr>
            </w:pPr>
            <w:r w:rsidRPr="00B50CB1">
              <w:rPr>
                <w:rFonts w:ascii="Arial" w:hAnsi="Arial" w:cs="Arial"/>
              </w:rPr>
              <w:t>Waterproof or resistant gown</w:t>
            </w:r>
          </w:p>
        </w:tc>
        <w:tc>
          <w:tcPr>
            <w:tcW w:w="949" w:type="pct"/>
            <w:shd w:val="clear" w:color="auto" w:fill="auto"/>
          </w:tcPr>
          <w:p w:rsidR="00FB69FC" w:rsidRPr="00B50CB1" w:rsidRDefault="00FB69FC" w:rsidP="00237B1A">
            <w:pPr>
              <w:rPr>
                <w:rFonts w:ascii="Arial" w:hAnsi="Arial" w:cs="Arial"/>
              </w:rPr>
            </w:pPr>
            <w:r w:rsidRPr="00B50CB1">
              <w:rPr>
                <w:rFonts w:ascii="Arial" w:hAnsi="Arial" w:cs="Arial"/>
              </w:rPr>
              <w:t>£1.25</w:t>
            </w:r>
          </w:p>
        </w:tc>
        <w:tc>
          <w:tcPr>
            <w:tcW w:w="796" w:type="pct"/>
            <w:shd w:val="clear" w:color="auto" w:fill="auto"/>
          </w:tcPr>
          <w:p w:rsidR="00FB69FC" w:rsidRPr="00B50CB1" w:rsidRDefault="00FB69FC" w:rsidP="00237B1A">
            <w:pPr>
              <w:rPr>
                <w:rFonts w:ascii="Arial" w:hAnsi="Arial" w:cs="Arial"/>
              </w:rPr>
            </w:pPr>
            <w:r w:rsidRPr="00B50CB1">
              <w:rPr>
                <w:rFonts w:ascii="Arial" w:hAnsi="Arial" w:cs="Arial"/>
              </w:rPr>
              <w:t>£1.78</w:t>
            </w:r>
          </w:p>
        </w:tc>
        <w:tc>
          <w:tcPr>
            <w:tcW w:w="1101" w:type="pct"/>
            <w:shd w:val="clear" w:color="auto" w:fill="auto"/>
          </w:tcPr>
          <w:p w:rsidR="00FB69FC" w:rsidRPr="00B50CB1" w:rsidRDefault="00FB69FC" w:rsidP="00237B1A">
            <w:pPr>
              <w:rPr>
                <w:rFonts w:ascii="Arial" w:hAnsi="Arial" w:cs="Arial"/>
              </w:rPr>
            </w:pPr>
            <w:r w:rsidRPr="00B50CB1">
              <w:rPr>
                <w:rFonts w:ascii="Arial" w:hAnsi="Arial" w:cs="Arial"/>
              </w:rPr>
              <w:t>£2.30</w:t>
            </w:r>
          </w:p>
        </w:tc>
      </w:tr>
      <w:tr w:rsidR="00FB69FC" w:rsidTr="00B50CB1">
        <w:tc>
          <w:tcPr>
            <w:tcW w:w="2154" w:type="pct"/>
            <w:shd w:val="clear" w:color="auto" w:fill="auto"/>
          </w:tcPr>
          <w:p w:rsidR="00FB69FC" w:rsidRPr="00B50CB1" w:rsidRDefault="00FB69FC" w:rsidP="00933424">
            <w:pPr>
              <w:rPr>
                <w:rFonts w:ascii="Arial" w:hAnsi="Arial" w:cs="Arial"/>
              </w:rPr>
            </w:pPr>
            <w:r w:rsidRPr="00B50CB1">
              <w:rPr>
                <w:rFonts w:ascii="Arial" w:hAnsi="Arial" w:cs="Arial"/>
              </w:rPr>
              <w:t>Plastic disposable apron</w:t>
            </w:r>
          </w:p>
        </w:tc>
        <w:tc>
          <w:tcPr>
            <w:tcW w:w="949" w:type="pct"/>
            <w:shd w:val="clear" w:color="auto" w:fill="auto"/>
          </w:tcPr>
          <w:p w:rsidR="00FB69FC" w:rsidRPr="00B50CB1" w:rsidRDefault="00FB69FC" w:rsidP="00FB69FC">
            <w:pPr>
              <w:rPr>
                <w:rFonts w:ascii="Arial" w:hAnsi="Arial" w:cs="Arial"/>
              </w:rPr>
            </w:pPr>
            <w:r w:rsidRPr="00B50CB1">
              <w:rPr>
                <w:rFonts w:ascii="Arial" w:hAnsi="Arial" w:cs="Arial"/>
              </w:rPr>
              <w:t>£0.21</w:t>
            </w:r>
          </w:p>
        </w:tc>
        <w:tc>
          <w:tcPr>
            <w:tcW w:w="796" w:type="pct"/>
            <w:shd w:val="clear" w:color="auto" w:fill="auto"/>
          </w:tcPr>
          <w:p w:rsidR="00FB69FC" w:rsidRPr="00B50CB1" w:rsidRDefault="00FB69FC" w:rsidP="00FB69FC">
            <w:pPr>
              <w:rPr>
                <w:rFonts w:ascii="Arial" w:hAnsi="Arial" w:cs="Arial"/>
              </w:rPr>
            </w:pPr>
            <w:r w:rsidRPr="00B50CB1">
              <w:rPr>
                <w:rFonts w:ascii="Arial" w:hAnsi="Arial" w:cs="Arial"/>
              </w:rPr>
              <w:t>£0.23</w:t>
            </w:r>
          </w:p>
        </w:tc>
        <w:tc>
          <w:tcPr>
            <w:tcW w:w="1101" w:type="pct"/>
            <w:shd w:val="clear" w:color="auto" w:fill="auto"/>
          </w:tcPr>
          <w:p w:rsidR="00FB69FC" w:rsidRPr="00B50CB1" w:rsidRDefault="00FB69FC" w:rsidP="00FB69FC">
            <w:pPr>
              <w:rPr>
                <w:rFonts w:ascii="Arial" w:hAnsi="Arial" w:cs="Arial"/>
              </w:rPr>
            </w:pPr>
            <w:r w:rsidRPr="00B50CB1">
              <w:rPr>
                <w:rFonts w:ascii="Arial" w:hAnsi="Arial" w:cs="Arial"/>
              </w:rPr>
              <w:t>£0.25</w:t>
            </w:r>
          </w:p>
        </w:tc>
      </w:tr>
      <w:tr w:rsidR="00FB69FC" w:rsidTr="00B50CB1">
        <w:tc>
          <w:tcPr>
            <w:tcW w:w="2154" w:type="pct"/>
            <w:shd w:val="clear" w:color="auto" w:fill="auto"/>
          </w:tcPr>
          <w:p w:rsidR="00FB69FC" w:rsidRPr="00B50CB1" w:rsidRDefault="00FB69FC" w:rsidP="00933424">
            <w:pPr>
              <w:rPr>
                <w:rFonts w:ascii="Arial" w:hAnsi="Arial" w:cs="Arial"/>
              </w:rPr>
            </w:pPr>
            <w:r w:rsidRPr="00B50CB1">
              <w:rPr>
                <w:rFonts w:ascii="Arial" w:hAnsi="Arial" w:cs="Arial"/>
              </w:rPr>
              <w:t>Eye protection or plain unventilated visor</w:t>
            </w:r>
          </w:p>
        </w:tc>
        <w:tc>
          <w:tcPr>
            <w:tcW w:w="949" w:type="pct"/>
            <w:shd w:val="clear" w:color="auto" w:fill="auto"/>
          </w:tcPr>
          <w:p w:rsidR="00FB69FC" w:rsidRPr="00B50CB1" w:rsidRDefault="00FB69FC" w:rsidP="00237B1A">
            <w:pPr>
              <w:rPr>
                <w:rFonts w:ascii="Arial" w:hAnsi="Arial" w:cs="Arial"/>
              </w:rPr>
            </w:pPr>
            <w:r w:rsidRPr="00B50CB1">
              <w:rPr>
                <w:rFonts w:ascii="Arial" w:hAnsi="Arial" w:cs="Arial"/>
              </w:rPr>
              <w:t>£1.00</w:t>
            </w:r>
          </w:p>
        </w:tc>
        <w:tc>
          <w:tcPr>
            <w:tcW w:w="796" w:type="pct"/>
            <w:shd w:val="clear" w:color="auto" w:fill="auto"/>
          </w:tcPr>
          <w:p w:rsidR="00FB69FC" w:rsidRPr="00B50CB1" w:rsidRDefault="00FB69FC" w:rsidP="00237B1A">
            <w:pPr>
              <w:rPr>
                <w:rFonts w:ascii="Arial" w:hAnsi="Arial" w:cs="Arial"/>
              </w:rPr>
            </w:pPr>
            <w:r w:rsidRPr="00B50CB1">
              <w:rPr>
                <w:rFonts w:ascii="Arial" w:hAnsi="Arial" w:cs="Arial"/>
              </w:rPr>
              <w:t>£2.98</w:t>
            </w:r>
          </w:p>
        </w:tc>
        <w:tc>
          <w:tcPr>
            <w:tcW w:w="1101" w:type="pct"/>
            <w:shd w:val="clear" w:color="auto" w:fill="auto"/>
          </w:tcPr>
          <w:p w:rsidR="00FB69FC" w:rsidRPr="00B50CB1" w:rsidRDefault="00FB69FC" w:rsidP="00237B1A">
            <w:pPr>
              <w:rPr>
                <w:rFonts w:ascii="Arial" w:hAnsi="Arial" w:cs="Arial"/>
              </w:rPr>
            </w:pPr>
            <w:r w:rsidRPr="00B50CB1">
              <w:rPr>
                <w:rFonts w:ascii="Arial" w:hAnsi="Arial" w:cs="Arial"/>
              </w:rPr>
              <w:t>£4.95</w:t>
            </w:r>
          </w:p>
        </w:tc>
      </w:tr>
      <w:tr w:rsidR="00FB69FC" w:rsidTr="00B50CB1">
        <w:tc>
          <w:tcPr>
            <w:tcW w:w="2154" w:type="pct"/>
            <w:shd w:val="clear" w:color="auto" w:fill="auto"/>
          </w:tcPr>
          <w:p w:rsidR="00FB69FC" w:rsidRPr="00B50CB1" w:rsidRDefault="00FB69FC" w:rsidP="00933424">
            <w:pPr>
              <w:rPr>
                <w:rFonts w:ascii="Arial" w:hAnsi="Arial" w:cs="Arial"/>
              </w:rPr>
            </w:pPr>
            <w:r w:rsidRPr="00B50CB1">
              <w:rPr>
                <w:rFonts w:ascii="Arial" w:hAnsi="Arial" w:cs="Arial"/>
              </w:rPr>
              <w:t>Face mask</w:t>
            </w:r>
          </w:p>
        </w:tc>
        <w:tc>
          <w:tcPr>
            <w:tcW w:w="949" w:type="pct"/>
            <w:shd w:val="clear" w:color="auto" w:fill="auto"/>
          </w:tcPr>
          <w:p w:rsidR="00FB69FC" w:rsidRPr="00B50CB1" w:rsidRDefault="00FB69FC" w:rsidP="00237B1A">
            <w:pPr>
              <w:rPr>
                <w:rFonts w:ascii="Arial" w:hAnsi="Arial" w:cs="Arial"/>
              </w:rPr>
            </w:pPr>
            <w:r w:rsidRPr="00B50CB1">
              <w:rPr>
                <w:rFonts w:ascii="Arial" w:hAnsi="Arial" w:cs="Arial"/>
              </w:rPr>
              <w:t>£2.00</w:t>
            </w:r>
          </w:p>
        </w:tc>
        <w:tc>
          <w:tcPr>
            <w:tcW w:w="796" w:type="pct"/>
            <w:shd w:val="clear" w:color="auto" w:fill="auto"/>
          </w:tcPr>
          <w:p w:rsidR="00FB69FC" w:rsidRPr="00B50CB1" w:rsidRDefault="00FB69FC" w:rsidP="00237B1A">
            <w:pPr>
              <w:rPr>
                <w:rFonts w:ascii="Arial" w:hAnsi="Arial" w:cs="Arial"/>
              </w:rPr>
            </w:pPr>
            <w:r w:rsidRPr="00B50CB1">
              <w:rPr>
                <w:rFonts w:ascii="Arial" w:hAnsi="Arial" w:cs="Arial"/>
              </w:rPr>
              <w:t>£3.34</w:t>
            </w:r>
          </w:p>
        </w:tc>
        <w:tc>
          <w:tcPr>
            <w:tcW w:w="1101" w:type="pct"/>
            <w:shd w:val="clear" w:color="auto" w:fill="auto"/>
          </w:tcPr>
          <w:p w:rsidR="00FB69FC" w:rsidRPr="00B50CB1" w:rsidRDefault="00FB69FC" w:rsidP="00237B1A">
            <w:pPr>
              <w:rPr>
                <w:rFonts w:ascii="Arial" w:hAnsi="Arial" w:cs="Arial"/>
              </w:rPr>
            </w:pPr>
            <w:r w:rsidRPr="00B50CB1">
              <w:rPr>
                <w:rFonts w:ascii="Arial" w:hAnsi="Arial" w:cs="Arial"/>
              </w:rPr>
              <w:t>£4.68</w:t>
            </w:r>
          </w:p>
        </w:tc>
      </w:tr>
      <w:tr w:rsidR="00FB69FC" w:rsidTr="00B50CB1">
        <w:tc>
          <w:tcPr>
            <w:tcW w:w="2154" w:type="pct"/>
            <w:shd w:val="clear" w:color="auto" w:fill="auto"/>
          </w:tcPr>
          <w:p w:rsidR="00FB69FC" w:rsidRPr="00B50CB1" w:rsidRDefault="00FB69FC" w:rsidP="00933424">
            <w:pPr>
              <w:rPr>
                <w:rFonts w:ascii="Arial" w:hAnsi="Arial" w:cs="Arial"/>
              </w:rPr>
            </w:pPr>
            <w:r w:rsidRPr="00B50CB1">
              <w:rPr>
                <w:rFonts w:ascii="Arial" w:hAnsi="Arial" w:cs="Arial"/>
              </w:rPr>
              <w:t>Disposable paper hat</w:t>
            </w:r>
          </w:p>
        </w:tc>
        <w:tc>
          <w:tcPr>
            <w:tcW w:w="949" w:type="pct"/>
            <w:shd w:val="clear" w:color="auto" w:fill="auto"/>
          </w:tcPr>
          <w:p w:rsidR="00FB69FC" w:rsidRPr="00B50CB1" w:rsidRDefault="00FB69FC" w:rsidP="00237B1A">
            <w:pPr>
              <w:rPr>
                <w:rFonts w:ascii="Arial" w:hAnsi="Arial" w:cs="Arial"/>
              </w:rPr>
            </w:pPr>
            <w:r w:rsidRPr="00B50CB1">
              <w:rPr>
                <w:rFonts w:ascii="Arial" w:hAnsi="Arial" w:cs="Arial"/>
              </w:rPr>
              <w:t>£0.02</w:t>
            </w:r>
          </w:p>
        </w:tc>
        <w:tc>
          <w:tcPr>
            <w:tcW w:w="796" w:type="pct"/>
            <w:shd w:val="clear" w:color="auto" w:fill="auto"/>
          </w:tcPr>
          <w:p w:rsidR="00FB69FC" w:rsidRPr="00B50CB1" w:rsidRDefault="00FB69FC" w:rsidP="00237B1A">
            <w:pPr>
              <w:rPr>
                <w:rFonts w:ascii="Arial" w:hAnsi="Arial" w:cs="Arial"/>
              </w:rPr>
            </w:pPr>
            <w:r w:rsidRPr="00B50CB1">
              <w:rPr>
                <w:rFonts w:ascii="Arial" w:hAnsi="Arial" w:cs="Arial"/>
              </w:rPr>
              <w:t>£0.03</w:t>
            </w:r>
          </w:p>
        </w:tc>
        <w:tc>
          <w:tcPr>
            <w:tcW w:w="1101" w:type="pct"/>
            <w:shd w:val="clear" w:color="auto" w:fill="auto"/>
          </w:tcPr>
          <w:p w:rsidR="00FB69FC" w:rsidRPr="00B50CB1" w:rsidRDefault="00FB69FC" w:rsidP="00237B1A">
            <w:pPr>
              <w:rPr>
                <w:rFonts w:ascii="Arial" w:hAnsi="Arial" w:cs="Arial"/>
              </w:rPr>
            </w:pPr>
            <w:r w:rsidRPr="00B50CB1">
              <w:rPr>
                <w:rFonts w:ascii="Arial" w:hAnsi="Arial" w:cs="Arial"/>
              </w:rPr>
              <w:t>£0.05</w:t>
            </w:r>
          </w:p>
        </w:tc>
      </w:tr>
      <w:tr w:rsidR="00FB69FC" w:rsidTr="00B50CB1">
        <w:tc>
          <w:tcPr>
            <w:tcW w:w="2154" w:type="pct"/>
            <w:shd w:val="clear" w:color="auto" w:fill="auto"/>
          </w:tcPr>
          <w:p w:rsidR="00FB69FC" w:rsidRPr="00B50CB1" w:rsidRDefault="00FB69FC" w:rsidP="00933424">
            <w:pPr>
              <w:rPr>
                <w:rFonts w:ascii="Arial" w:hAnsi="Arial" w:cs="Arial"/>
              </w:rPr>
            </w:pPr>
            <w:r w:rsidRPr="00B50CB1">
              <w:rPr>
                <w:rFonts w:ascii="Arial" w:hAnsi="Arial" w:cs="Arial"/>
              </w:rPr>
              <w:t>Latex gloves</w:t>
            </w:r>
          </w:p>
        </w:tc>
        <w:tc>
          <w:tcPr>
            <w:tcW w:w="949" w:type="pct"/>
            <w:shd w:val="clear" w:color="auto" w:fill="auto"/>
          </w:tcPr>
          <w:p w:rsidR="00FB69FC" w:rsidRPr="00B50CB1" w:rsidRDefault="00FB69FC" w:rsidP="00237B1A">
            <w:pPr>
              <w:rPr>
                <w:rFonts w:ascii="Arial" w:hAnsi="Arial" w:cs="Arial"/>
              </w:rPr>
            </w:pPr>
            <w:r w:rsidRPr="00B50CB1">
              <w:rPr>
                <w:rFonts w:ascii="Arial" w:hAnsi="Arial" w:cs="Arial"/>
              </w:rPr>
              <w:t>£0.18</w:t>
            </w:r>
          </w:p>
        </w:tc>
        <w:tc>
          <w:tcPr>
            <w:tcW w:w="796" w:type="pct"/>
            <w:shd w:val="clear" w:color="auto" w:fill="auto"/>
          </w:tcPr>
          <w:p w:rsidR="00FB69FC" w:rsidRPr="00B50CB1" w:rsidRDefault="00FB69FC" w:rsidP="00237B1A">
            <w:pPr>
              <w:rPr>
                <w:rFonts w:ascii="Arial" w:hAnsi="Arial" w:cs="Arial"/>
              </w:rPr>
            </w:pPr>
            <w:r w:rsidRPr="00B50CB1">
              <w:rPr>
                <w:rFonts w:ascii="Arial" w:hAnsi="Arial" w:cs="Arial"/>
              </w:rPr>
              <w:t>£0.44</w:t>
            </w:r>
          </w:p>
        </w:tc>
        <w:tc>
          <w:tcPr>
            <w:tcW w:w="1101" w:type="pct"/>
            <w:shd w:val="clear" w:color="auto" w:fill="auto"/>
          </w:tcPr>
          <w:p w:rsidR="00FB69FC" w:rsidRPr="00B50CB1" w:rsidRDefault="00FB69FC" w:rsidP="00237B1A">
            <w:pPr>
              <w:rPr>
                <w:rFonts w:ascii="Arial" w:hAnsi="Arial" w:cs="Arial"/>
              </w:rPr>
            </w:pPr>
            <w:r w:rsidRPr="00B50CB1">
              <w:rPr>
                <w:rFonts w:ascii="Arial" w:hAnsi="Arial" w:cs="Arial"/>
              </w:rPr>
              <w:t>£0.70</w:t>
            </w:r>
          </w:p>
        </w:tc>
      </w:tr>
    </w:tbl>
    <w:p w:rsidR="00933424" w:rsidRPr="00933424" w:rsidRDefault="00933424" w:rsidP="00933424">
      <w:pPr>
        <w:rPr>
          <w:rFonts w:ascii="Arial" w:hAnsi="Arial" w:cs="Arial"/>
        </w:rPr>
      </w:pPr>
      <w:r w:rsidRPr="00933424">
        <w:rPr>
          <w:rFonts w:ascii="Arial" w:hAnsi="Arial" w:cs="Arial"/>
        </w:rPr>
        <w:tab/>
      </w:r>
    </w:p>
    <w:p w:rsidR="00933424" w:rsidRPr="000F68B3" w:rsidRDefault="00933424" w:rsidP="006A3249">
      <w:pPr>
        <w:numPr>
          <w:ilvl w:val="0"/>
          <w:numId w:val="6"/>
        </w:numPr>
        <w:ind w:left="360"/>
        <w:rPr>
          <w:rFonts w:ascii="Arial" w:hAnsi="Arial" w:cs="Arial"/>
        </w:rPr>
      </w:pPr>
      <w:r w:rsidRPr="000F68B3">
        <w:rPr>
          <w:rFonts w:ascii="Arial" w:hAnsi="Arial" w:cs="Arial"/>
        </w:rPr>
        <w:t xml:space="preserve">The only two additional pieces of PPE expected to be included in the updated guidance on safe </w:t>
      </w:r>
      <w:r w:rsidR="00EE4955" w:rsidRPr="000F68B3">
        <w:rPr>
          <w:rFonts w:ascii="Arial" w:hAnsi="Arial" w:cs="Arial"/>
        </w:rPr>
        <w:t>working practices</w:t>
      </w:r>
      <w:r w:rsidRPr="000F68B3">
        <w:rPr>
          <w:rFonts w:ascii="Arial" w:hAnsi="Arial" w:cs="Arial"/>
        </w:rPr>
        <w:t xml:space="preserve"> for embalming the deceased with a HG3 </w:t>
      </w:r>
      <w:r w:rsidR="00C70BC9" w:rsidRPr="000F68B3">
        <w:rPr>
          <w:rFonts w:ascii="Arial" w:hAnsi="Arial" w:cs="Arial"/>
        </w:rPr>
        <w:t xml:space="preserve">BBV </w:t>
      </w:r>
      <w:r w:rsidRPr="000F68B3">
        <w:rPr>
          <w:rFonts w:ascii="Arial" w:hAnsi="Arial" w:cs="Arial"/>
        </w:rPr>
        <w:t>that are not in the cu</w:t>
      </w:r>
      <w:r w:rsidR="00C70BC9" w:rsidRPr="000F68B3">
        <w:rPr>
          <w:rFonts w:ascii="Arial" w:hAnsi="Arial" w:cs="Arial"/>
        </w:rPr>
        <w:t>rrent guidance (</w:t>
      </w:r>
      <w:r w:rsidR="00176EC6" w:rsidRPr="000F68B3">
        <w:rPr>
          <w:rFonts w:ascii="Arial" w:hAnsi="Arial" w:cs="Arial"/>
        </w:rPr>
        <w:t>see paragraph 40</w:t>
      </w:r>
      <w:r w:rsidRPr="000F68B3">
        <w:rPr>
          <w:rFonts w:ascii="Arial" w:hAnsi="Arial" w:cs="Arial"/>
        </w:rPr>
        <w:t>) are the plastic disposable apron and the head covering. These are estimated to cost together around 30p. However, this would be a discretionary expenditure on the part of funeral directors and embalmers – they would only choose to spend it if it was in their interest.</w:t>
      </w:r>
    </w:p>
    <w:p w:rsidR="00933424" w:rsidRPr="00933424" w:rsidRDefault="00933424" w:rsidP="006A3249">
      <w:pPr>
        <w:rPr>
          <w:rFonts w:ascii="Arial" w:hAnsi="Arial" w:cs="Arial"/>
        </w:rPr>
      </w:pPr>
    </w:p>
    <w:p w:rsidR="00933424" w:rsidRDefault="00933424" w:rsidP="006A3249">
      <w:pPr>
        <w:ind w:left="-360" w:firstLine="360"/>
        <w:rPr>
          <w:rFonts w:ascii="Arial" w:hAnsi="Arial" w:cs="Arial"/>
          <w:b/>
        </w:rPr>
      </w:pPr>
      <w:r w:rsidRPr="00933424">
        <w:rPr>
          <w:rFonts w:ascii="Arial" w:hAnsi="Arial" w:cs="Arial"/>
          <w:b/>
        </w:rPr>
        <w:t>Additional time</w:t>
      </w:r>
    </w:p>
    <w:p w:rsidR="00933424" w:rsidRPr="00933424" w:rsidRDefault="00933424" w:rsidP="006A3249">
      <w:pPr>
        <w:rPr>
          <w:rFonts w:ascii="Arial" w:hAnsi="Arial" w:cs="Arial"/>
          <w:b/>
        </w:rPr>
      </w:pPr>
    </w:p>
    <w:p w:rsidR="00933424" w:rsidRPr="00933424" w:rsidRDefault="00933424" w:rsidP="00176EC6">
      <w:pPr>
        <w:numPr>
          <w:ilvl w:val="0"/>
          <w:numId w:val="6"/>
        </w:numPr>
        <w:rPr>
          <w:rFonts w:ascii="Arial" w:hAnsi="Arial" w:cs="Arial"/>
        </w:rPr>
      </w:pPr>
      <w:r w:rsidRPr="00933424">
        <w:rPr>
          <w:rFonts w:ascii="Arial" w:hAnsi="Arial" w:cs="Arial"/>
        </w:rPr>
        <w:t xml:space="preserve">Based on interviews with the funeral sector, it is estimated that the time necessary </w:t>
      </w:r>
      <w:r w:rsidR="00026393">
        <w:rPr>
          <w:rFonts w:ascii="Arial" w:hAnsi="Arial" w:cs="Arial"/>
        </w:rPr>
        <w:t xml:space="preserve">to carry out an </w:t>
      </w:r>
      <w:r w:rsidRPr="00933424">
        <w:rPr>
          <w:rFonts w:ascii="Arial" w:hAnsi="Arial" w:cs="Arial"/>
        </w:rPr>
        <w:t xml:space="preserve">embalming </w:t>
      </w:r>
      <w:r w:rsidR="00026393">
        <w:rPr>
          <w:rFonts w:ascii="Arial" w:hAnsi="Arial" w:cs="Arial"/>
        </w:rPr>
        <w:t xml:space="preserve">procedure </w:t>
      </w:r>
      <w:r w:rsidRPr="00933424">
        <w:rPr>
          <w:rFonts w:ascii="Arial" w:hAnsi="Arial" w:cs="Arial"/>
        </w:rPr>
        <w:t>on the deceased without infection is around one</w:t>
      </w:r>
      <w:r w:rsidR="00440F8C">
        <w:rPr>
          <w:rFonts w:ascii="Arial" w:hAnsi="Arial" w:cs="Arial"/>
        </w:rPr>
        <w:t xml:space="preserve"> hour and involves one embalmer.  T</w:t>
      </w:r>
      <w:r w:rsidRPr="00933424">
        <w:rPr>
          <w:rFonts w:ascii="Arial" w:hAnsi="Arial" w:cs="Arial"/>
        </w:rPr>
        <w:t xml:space="preserve">his would double </w:t>
      </w:r>
      <w:r w:rsidR="00440F8C">
        <w:rPr>
          <w:rFonts w:ascii="Arial" w:hAnsi="Arial" w:cs="Arial"/>
        </w:rPr>
        <w:t xml:space="preserve">to two hours and two embalmers </w:t>
      </w:r>
      <w:r w:rsidRPr="00933424">
        <w:rPr>
          <w:rFonts w:ascii="Arial" w:hAnsi="Arial" w:cs="Arial"/>
        </w:rPr>
        <w:t>for an embalming</w:t>
      </w:r>
      <w:r w:rsidR="00440F8C">
        <w:rPr>
          <w:rFonts w:ascii="Arial" w:hAnsi="Arial" w:cs="Arial"/>
        </w:rPr>
        <w:t xml:space="preserve"> procedure on</w:t>
      </w:r>
      <w:r w:rsidRPr="00933424">
        <w:rPr>
          <w:rFonts w:ascii="Arial" w:hAnsi="Arial" w:cs="Arial"/>
        </w:rPr>
        <w:t xml:space="preserve"> the deceased wit</w:t>
      </w:r>
      <w:r w:rsidR="00440F8C">
        <w:rPr>
          <w:rFonts w:ascii="Arial" w:hAnsi="Arial" w:cs="Arial"/>
        </w:rPr>
        <w:t>h a known</w:t>
      </w:r>
      <w:r w:rsidR="00C70BC9">
        <w:rPr>
          <w:rFonts w:ascii="Arial" w:hAnsi="Arial" w:cs="Arial"/>
        </w:rPr>
        <w:t xml:space="preserve"> or suspected</w:t>
      </w:r>
      <w:r w:rsidR="00440F8C">
        <w:rPr>
          <w:rFonts w:ascii="Arial" w:hAnsi="Arial" w:cs="Arial"/>
        </w:rPr>
        <w:t xml:space="preserve"> HG3 </w:t>
      </w:r>
      <w:r w:rsidR="00C70BC9">
        <w:rPr>
          <w:rFonts w:ascii="Arial" w:hAnsi="Arial" w:cs="Arial"/>
        </w:rPr>
        <w:t>BBV</w:t>
      </w:r>
      <w:r w:rsidR="00440F8C">
        <w:rPr>
          <w:rFonts w:ascii="Arial" w:hAnsi="Arial" w:cs="Arial"/>
        </w:rPr>
        <w:t xml:space="preserve"> </w:t>
      </w:r>
      <w:r w:rsidRPr="00933424">
        <w:rPr>
          <w:rFonts w:ascii="Arial" w:hAnsi="Arial" w:cs="Arial"/>
        </w:rPr>
        <w:t>due to the additional care</w:t>
      </w:r>
      <w:r w:rsidR="00C70BC9">
        <w:rPr>
          <w:rFonts w:ascii="Arial" w:hAnsi="Arial" w:cs="Arial"/>
        </w:rPr>
        <w:t xml:space="preserve"> required</w:t>
      </w:r>
      <w:r w:rsidRPr="00933424">
        <w:rPr>
          <w:rFonts w:ascii="Arial" w:hAnsi="Arial" w:cs="Arial"/>
        </w:rPr>
        <w:t xml:space="preserve"> (</w:t>
      </w:r>
      <w:r w:rsidR="00EE4955" w:rsidRPr="00EE4955">
        <w:rPr>
          <w:rFonts w:ascii="Arial" w:hAnsi="Arial" w:cs="Arial"/>
        </w:rPr>
        <w:t xml:space="preserve">in order to reduce the likelihood of a </w:t>
      </w:r>
      <w:proofErr w:type="spellStart"/>
      <w:r w:rsidR="00EE4955" w:rsidRPr="00EE4955">
        <w:rPr>
          <w:rFonts w:ascii="Arial" w:hAnsi="Arial" w:cs="Arial"/>
        </w:rPr>
        <w:t>needlestick</w:t>
      </w:r>
      <w:proofErr w:type="spellEnd"/>
      <w:r w:rsidR="00EE4955" w:rsidRPr="00EE4955">
        <w:rPr>
          <w:rFonts w:ascii="Arial" w:hAnsi="Arial" w:cs="Arial"/>
        </w:rPr>
        <w:t xml:space="preserve"> injury</w:t>
      </w:r>
      <w:r w:rsidR="00756AA5">
        <w:rPr>
          <w:rFonts w:ascii="Arial" w:hAnsi="Arial" w:cs="Arial"/>
        </w:rPr>
        <w:t xml:space="preserve"> and prevent splashes</w:t>
      </w:r>
      <w:r w:rsidRPr="00933424">
        <w:rPr>
          <w:rFonts w:ascii="Arial" w:hAnsi="Arial" w:cs="Arial"/>
        </w:rPr>
        <w:t>) and time taken. There would also b</w:t>
      </w:r>
      <w:r w:rsidR="00440F8C">
        <w:rPr>
          <w:rFonts w:ascii="Arial" w:hAnsi="Arial" w:cs="Arial"/>
        </w:rPr>
        <w:t xml:space="preserve">e an additional 45 minutes </w:t>
      </w:r>
      <w:r w:rsidRPr="00933424">
        <w:rPr>
          <w:rFonts w:ascii="Arial" w:hAnsi="Arial" w:cs="Arial"/>
        </w:rPr>
        <w:t>(approximately) of cleaning required. Costed at the average embalmer charge-out rate of £25.00 per hour, this gives an additional cost of time per embalming of around £44. However, this would be a discretionary expenditure on the part of funeral directors and embalmers – they would only choose to spend it if it was in their interest</w:t>
      </w:r>
      <w:r w:rsidR="00176EC6">
        <w:rPr>
          <w:rFonts w:ascii="Arial" w:hAnsi="Arial" w:cs="Arial"/>
        </w:rPr>
        <w:t xml:space="preserve"> to do so</w:t>
      </w:r>
      <w:r w:rsidRPr="00933424">
        <w:rPr>
          <w:rFonts w:ascii="Arial" w:hAnsi="Arial" w:cs="Arial"/>
        </w:rPr>
        <w:t>.</w:t>
      </w:r>
    </w:p>
    <w:p w:rsidR="00933424" w:rsidRPr="00933424" w:rsidRDefault="00933424" w:rsidP="00933424">
      <w:pPr>
        <w:rPr>
          <w:rFonts w:ascii="Arial" w:hAnsi="Arial" w:cs="Arial"/>
        </w:rPr>
      </w:pPr>
    </w:p>
    <w:p w:rsidR="00933424" w:rsidRDefault="00933424" w:rsidP="00933424">
      <w:pPr>
        <w:rPr>
          <w:rFonts w:ascii="Arial" w:hAnsi="Arial" w:cs="Arial"/>
          <w:b/>
        </w:rPr>
      </w:pPr>
      <w:r w:rsidRPr="00933424">
        <w:rPr>
          <w:rFonts w:ascii="Arial" w:hAnsi="Arial" w:cs="Arial"/>
          <w:b/>
        </w:rPr>
        <w:t>Mortuaries and post mortem rooms</w:t>
      </w:r>
    </w:p>
    <w:p w:rsidR="00176EC6" w:rsidRDefault="00176EC6" w:rsidP="00933424">
      <w:pPr>
        <w:rPr>
          <w:rFonts w:ascii="Arial" w:hAnsi="Arial" w:cs="Arial"/>
          <w:b/>
        </w:rPr>
      </w:pPr>
    </w:p>
    <w:p w:rsidR="00176EC6" w:rsidRPr="00933424" w:rsidRDefault="00176EC6" w:rsidP="00933424">
      <w:pPr>
        <w:rPr>
          <w:rFonts w:ascii="Arial" w:hAnsi="Arial" w:cs="Arial"/>
          <w:b/>
        </w:rPr>
      </w:pPr>
      <w:r w:rsidRPr="00176EC6">
        <w:rPr>
          <w:rFonts w:ascii="Arial" w:hAnsi="Arial" w:cs="Arial"/>
          <w:b/>
        </w:rPr>
        <w:t>Facilities</w:t>
      </w:r>
    </w:p>
    <w:p w:rsidR="00933424" w:rsidRPr="00933424" w:rsidRDefault="00933424" w:rsidP="006A3249">
      <w:pPr>
        <w:rPr>
          <w:rFonts w:ascii="Arial" w:hAnsi="Arial" w:cs="Arial"/>
        </w:rPr>
      </w:pPr>
    </w:p>
    <w:p w:rsidR="00042236" w:rsidRPr="00FE1954" w:rsidRDefault="00176EC6" w:rsidP="00042236">
      <w:pPr>
        <w:numPr>
          <w:ilvl w:val="0"/>
          <w:numId w:val="6"/>
        </w:numPr>
        <w:ind w:left="360"/>
        <w:rPr>
          <w:rFonts w:ascii="Arial" w:hAnsi="Arial" w:cs="Arial"/>
        </w:rPr>
      </w:pPr>
      <w:r w:rsidRPr="00FE1954">
        <w:rPr>
          <w:rFonts w:ascii="Arial" w:hAnsi="Arial" w:cs="Arial"/>
        </w:rPr>
        <w:t>The current mortuary and post mortem guidance describes the requirements for controlling the risks of infection when handling the deceased with HG3 BBVs and these will not change.  Therefore, it is assumed that the majority of mortuaries and</w:t>
      </w:r>
      <w:r w:rsidR="00042236" w:rsidRPr="00FE1954">
        <w:rPr>
          <w:rFonts w:ascii="Arial" w:hAnsi="Arial" w:cs="Arial"/>
        </w:rPr>
        <w:t xml:space="preserve"> post mortem rooms </w:t>
      </w:r>
      <w:r w:rsidRPr="00FE1954">
        <w:rPr>
          <w:rFonts w:ascii="Arial" w:hAnsi="Arial" w:cs="Arial"/>
        </w:rPr>
        <w:t xml:space="preserve">will have a suitable facility.  </w:t>
      </w:r>
      <w:r w:rsidR="00756AA5" w:rsidRPr="00FE1954">
        <w:rPr>
          <w:rFonts w:ascii="Arial" w:hAnsi="Arial" w:cs="Arial"/>
        </w:rPr>
        <w:t xml:space="preserve">NHS post mortem </w:t>
      </w:r>
      <w:r w:rsidR="000F68B3" w:rsidRPr="00FE1954">
        <w:rPr>
          <w:rFonts w:ascii="Arial" w:hAnsi="Arial" w:cs="Arial"/>
        </w:rPr>
        <w:t xml:space="preserve">facilities </w:t>
      </w:r>
      <w:r w:rsidRPr="00FE1954">
        <w:rPr>
          <w:rFonts w:ascii="Arial" w:hAnsi="Arial" w:cs="Arial"/>
        </w:rPr>
        <w:t xml:space="preserve">are also subject to licencing requirements by the Health Tissue Authority and accreditation by UK Accreditation Scheme which measures the post mortem practice and facilities against a number of different standards.  Therefore, the assumption is that there will be no additional cost to this sector.  </w:t>
      </w:r>
    </w:p>
    <w:p w:rsidR="00933424" w:rsidRPr="00FE1954" w:rsidRDefault="00933424" w:rsidP="006A3249">
      <w:pPr>
        <w:rPr>
          <w:rFonts w:ascii="Arial" w:hAnsi="Arial" w:cs="Arial"/>
        </w:rPr>
      </w:pPr>
    </w:p>
    <w:p w:rsidR="00933424" w:rsidRPr="00FE1954" w:rsidRDefault="00933424" w:rsidP="006A3249">
      <w:pPr>
        <w:rPr>
          <w:rFonts w:ascii="Arial" w:hAnsi="Arial" w:cs="Arial"/>
          <w:b/>
        </w:rPr>
      </w:pPr>
      <w:r w:rsidRPr="00FE1954">
        <w:rPr>
          <w:rFonts w:ascii="Arial" w:hAnsi="Arial" w:cs="Arial"/>
          <w:b/>
        </w:rPr>
        <w:t>Personal Protective Equipment (PPE)</w:t>
      </w:r>
    </w:p>
    <w:p w:rsidR="00933424" w:rsidRPr="00FE1954" w:rsidRDefault="00933424" w:rsidP="006A3249">
      <w:pPr>
        <w:rPr>
          <w:rFonts w:ascii="Arial" w:hAnsi="Arial" w:cs="Arial"/>
          <w:b/>
        </w:rPr>
      </w:pPr>
    </w:p>
    <w:p w:rsidR="00933424" w:rsidRPr="00FE1954" w:rsidRDefault="00176EC6" w:rsidP="00176EC6">
      <w:pPr>
        <w:numPr>
          <w:ilvl w:val="0"/>
          <w:numId w:val="6"/>
        </w:numPr>
        <w:rPr>
          <w:rFonts w:ascii="Arial" w:hAnsi="Arial" w:cs="Arial"/>
        </w:rPr>
      </w:pPr>
      <w:r w:rsidRPr="00FE1954">
        <w:rPr>
          <w:rFonts w:ascii="Arial" w:hAnsi="Arial" w:cs="Arial"/>
        </w:rPr>
        <w:t>Similarly, mortuaries and post mortem rooms are already complying with the Royal College of Pathologists guidance on universal precautions for performing post mortem examinations on the deceased with known or suspected HG3 BBVs so there would be no additional cost for PPE</w:t>
      </w:r>
      <w:r w:rsidR="00933424" w:rsidRPr="00FE1954">
        <w:rPr>
          <w:rFonts w:ascii="Arial" w:hAnsi="Arial" w:cs="Arial"/>
        </w:rPr>
        <w:t>.</w:t>
      </w:r>
    </w:p>
    <w:p w:rsidR="00933424" w:rsidRPr="00933424" w:rsidRDefault="00933424" w:rsidP="00933424">
      <w:pPr>
        <w:rPr>
          <w:rFonts w:ascii="Arial" w:hAnsi="Arial" w:cs="Arial"/>
        </w:rPr>
      </w:pPr>
    </w:p>
    <w:p w:rsidR="00933424" w:rsidRDefault="00933424" w:rsidP="00933424">
      <w:pPr>
        <w:rPr>
          <w:rFonts w:ascii="Arial" w:hAnsi="Arial" w:cs="Arial"/>
          <w:b/>
        </w:rPr>
      </w:pPr>
      <w:r w:rsidRPr="00933424">
        <w:rPr>
          <w:rFonts w:ascii="Arial" w:hAnsi="Arial" w:cs="Arial"/>
          <w:b/>
        </w:rPr>
        <w:t>Additional time</w:t>
      </w:r>
    </w:p>
    <w:p w:rsidR="00933424" w:rsidRPr="00933424" w:rsidRDefault="00933424" w:rsidP="00933424">
      <w:pPr>
        <w:rPr>
          <w:rFonts w:ascii="Arial" w:hAnsi="Arial" w:cs="Arial"/>
          <w:b/>
        </w:rPr>
      </w:pPr>
    </w:p>
    <w:p w:rsidR="00933424" w:rsidRPr="000B679F" w:rsidRDefault="00DB7D95" w:rsidP="006A3249">
      <w:pPr>
        <w:numPr>
          <w:ilvl w:val="0"/>
          <w:numId w:val="6"/>
        </w:numPr>
        <w:ind w:left="360"/>
        <w:rPr>
          <w:rFonts w:ascii="Arial" w:hAnsi="Arial" w:cs="Arial"/>
        </w:rPr>
      </w:pPr>
      <w:r>
        <w:rPr>
          <w:rFonts w:ascii="Arial" w:hAnsi="Arial" w:cs="Arial"/>
        </w:rPr>
        <w:t xml:space="preserve">As post mortem examinations on the deceased with HG3 BBVs are already been carried out, there will be no costs associated with additional time it takes to carry out these procedures.  </w:t>
      </w:r>
    </w:p>
    <w:p w:rsidR="00933424" w:rsidRPr="00933424" w:rsidRDefault="00933424" w:rsidP="00933424">
      <w:pPr>
        <w:rPr>
          <w:rFonts w:ascii="Arial" w:hAnsi="Arial" w:cs="Arial"/>
        </w:rPr>
      </w:pPr>
    </w:p>
    <w:p w:rsidR="00933424" w:rsidRPr="00933424" w:rsidRDefault="00933424" w:rsidP="00933424">
      <w:pPr>
        <w:rPr>
          <w:rFonts w:ascii="Arial" w:hAnsi="Arial" w:cs="Arial"/>
          <w:b/>
        </w:rPr>
      </w:pPr>
      <w:r w:rsidRPr="00933424">
        <w:rPr>
          <w:rFonts w:ascii="Arial" w:hAnsi="Arial" w:cs="Arial"/>
          <w:b/>
        </w:rPr>
        <w:t>Familiarisation</w:t>
      </w:r>
    </w:p>
    <w:p w:rsidR="00933424" w:rsidRPr="00933424" w:rsidRDefault="00933424" w:rsidP="00933424">
      <w:pPr>
        <w:rPr>
          <w:rFonts w:ascii="Arial" w:hAnsi="Arial" w:cs="Arial"/>
        </w:rPr>
      </w:pPr>
    </w:p>
    <w:p w:rsidR="00933424" w:rsidRPr="00933424" w:rsidRDefault="00933424" w:rsidP="006A3249">
      <w:pPr>
        <w:numPr>
          <w:ilvl w:val="0"/>
          <w:numId w:val="6"/>
        </w:numPr>
        <w:ind w:left="360"/>
        <w:rPr>
          <w:rFonts w:ascii="Arial" w:hAnsi="Arial" w:cs="Arial"/>
        </w:rPr>
      </w:pPr>
      <w:r w:rsidRPr="00933424">
        <w:rPr>
          <w:rFonts w:ascii="Arial" w:hAnsi="Arial" w:cs="Arial"/>
        </w:rPr>
        <w:t>As under Option 2, industry is expected to have to familiarise</w:t>
      </w:r>
      <w:r w:rsidR="00C70BC9">
        <w:rPr>
          <w:rFonts w:ascii="Arial" w:hAnsi="Arial" w:cs="Arial"/>
        </w:rPr>
        <w:t xml:space="preserve"> themselves with</w:t>
      </w:r>
      <w:r w:rsidRPr="00933424">
        <w:rPr>
          <w:rFonts w:ascii="Arial" w:hAnsi="Arial" w:cs="Arial"/>
        </w:rPr>
        <w:t xml:space="preserve"> changes to guidance. For mortuaries, this is expected to be the same as under Option 2, as described in paragraphs </w:t>
      </w:r>
      <w:r w:rsidR="000B679F" w:rsidRPr="000B679F">
        <w:rPr>
          <w:rFonts w:ascii="Arial" w:hAnsi="Arial" w:cs="Arial"/>
        </w:rPr>
        <w:t xml:space="preserve">32 to </w:t>
      </w:r>
      <w:r w:rsidR="000B679F">
        <w:rPr>
          <w:rFonts w:ascii="Arial" w:hAnsi="Arial" w:cs="Arial"/>
        </w:rPr>
        <w:t>33</w:t>
      </w:r>
      <w:r w:rsidRPr="00933424">
        <w:rPr>
          <w:rFonts w:ascii="Arial" w:hAnsi="Arial" w:cs="Arial"/>
        </w:rPr>
        <w:t>. This is because the only difference to the changes in guidance</w:t>
      </w:r>
      <w:r w:rsidR="00DB7D95">
        <w:rPr>
          <w:rFonts w:ascii="Arial" w:hAnsi="Arial" w:cs="Arial"/>
        </w:rPr>
        <w:t xml:space="preserve"> between Options 2 and 3 relating to</w:t>
      </w:r>
      <w:r w:rsidRPr="00933424">
        <w:rPr>
          <w:rFonts w:ascii="Arial" w:hAnsi="Arial" w:cs="Arial"/>
        </w:rPr>
        <w:t xml:space="preserve"> embalming, of which APTs do very little</w:t>
      </w:r>
      <w:r w:rsidR="000B679F">
        <w:rPr>
          <w:rFonts w:ascii="Arial" w:hAnsi="Arial" w:cs="Arial"/>
        </w:rPr>
        <w:t xml:space="preserve">, if it all. </w:t>
      </w:r>
      <w:r w:rsidRPr="00933424">
        <w:rPr>
          <w:rFonts w:ascii="Arial" w:hAnsi="Arial" w:cs="Arial"/>
        </w:rPr>
        <w:t xml:space="preserve"> This gives an estimated present value one-off cost to mortuaries of between about £32 thousand and £110 thousand, with a best estimate of around £65 thousand.</w:t>
      </w:r>
    </w:p>
    <w:p w:rsidR="00933424" w:rsidRPr="00933424" w:rsidRDefault="00933424" w:rsidP="006A3249">
      <w:pPr>
        <w:rPr>
          <w:rFonts w:ascii="Arial" w:hAnsi="Arial" w:cs="Arial"/>
        </w:rPr>
      </w:pPr>
    </w:p>
    <w:p w:rsidR="00933424" w:rsidRPr="00933424" w:rsidRDefault="00933424" w:rsidP="006A3249">
      <w:pPr>
        <w:numPr>
          <w:ilvl w:val="0"/>
          <w:numId w:val="6"/>
        </w:numPr>
        <w:ind w:left="360"/>
        <w:rPr>
          <w:rFonts w:ascii="Arial" w:hAnsi="Arial" w:cs="Arial"/>
        </w:rPr>
      </w:pPr>
      <w:r w:rsidRPr="00933424">
        <w:rPr>
          <w:rFonts w:ascii="Arial" w:hAnsi="Arial" w:cs="Arial"/>
        </w:rPr>
        <w:t xml:space="preserve">In addition, embalmers are expected to familiarise </w:t>
      </w:r>
      <w:r w:rsidR="00C70BC9">
        <w:rPr>
          <w:rFonts w:ascii="Arial" w:hAnsi="Arial" w:cs="Arial"/>
        </w:rPr>
        <w:t xml:space="preserve">themselves </w:t>
      </w:r>
      <w:r w:rsidRPr="00933424">
        <w:rPr>
          <w:rFonts w:ascii="Arial" w:hAnsi="Arial" w:cs="Arial"/>
        </w:rPr>
        <w:t>with the changes under Option 3. Based on interview responses, it is expected that at each of the 3,400 to 3,460 premises operating in 2015, between one and two people will need to familiarise and that this will take each of them between around two and four hours, with a best estimate of around three hours. This would be costed at the embalmers’ FEC of £25 per hour.</w:t>
      </w:r>
    </w:p>
    <w:p w:rsidR="00933424" w:rsidRPr="00933424" w:rsidRDefault="00933424" w:rsidP="006A3249">
      <w:pPr>
        <w:rPr>
          <w:rFonts w:ascii="Arial" w:hAnsi="Arial" w:cs="Arial"/>
        </w:rPr>
      </w:pPr>
    </w:p>
    <w:p w:rsidR="00933424" w:rsidRPr="00933424" w:rsidRDefault="00933424" w:rsidP="006A3249">
      <w:pPr>
        <w:numPr>
          <w:ilvl w:val="0"/>
          <w:numId w:val="6"/>
        </w:numPr>
        <w:ind w:left="360"/>
        <w:rPr>
          <w:rFonts w:ascii="Arial" w:hAnsi="Arial" w:cs="Arial"/>
        </w:rPr>
      </w:pPr>
      <w:r w:rsidRPr="00933424">
        <w:rPr>
          <w:rFonts w:ascii="Arial" w:hAnsi="Arial" w:cs="Arial"/>
        </w:rPr>
        <w:t xml:space="preserve">Expected to occur in Year 1 of the appraisal period, this gives an estimated prevent value one-off cost to embalmers of between around </w:t>
      </w:r>
      <w:r w:rsidRPr="00B50CB1">
        <w:rPr>
          <w:rFonts w:ascii="Arial" w:hAnsi="Arial" w:cs="Arial"/>
          <w:b/>
        </w:rPr>
        <w:t>£164 thousand and £668 thousand, with a best estimate of around £373 thousand</w:t>
      </w:r>
      <w:r w:rsidRPr="00933424">
        <w:rPr>
          <w:rFonts w:ascii="Arial" w:hAnsi="Arial" w:cs="Arial"/>
        </w:rPr>
        <w:t>.</w:t>
      </w:r>
    </w:p>
    <w:p w:rsidR="00933424" w:rsidRPr="00933424" w:rsidRDefault="00933424" w:rsidP="00933424">
      <w:pPr>
        <w:rPr>
          <w:rFonts w:ascii="Arial" w:hAnsi="Arial" w:cs="Arial"/>
        </w:rPr>
      </w:pPr>
    </w:p>
    <w:p w:rsidR="00933424" w:rsidRPr="00933424" w:rsidRDefault="00933424" w:rsidP="00933424">
      <w:pPr>
        <w:rPr>
          <w:rFonts w:ascii="Arial" w:hAnsi="Arial" w:cs="Arial"/>
          <w:b/>
        </w:rPr>
      </w:pPr>
      <w:r w:rsidRPr="00933424">
        <w:rPr>
          <w:rFonts w:ascii="Arial" w:hAnsi="Arial" w:cs="Arial"/>
          <w:b/>
        </w:rPr>
        <w:t>Training</w:t>
      </w:r>
    </w:p>
    <w:p w:rsidR="00933424" w:rsidRPr="00933424" w:rsidRDefault="00933424" w:rsidP="00933424">
      <w:pPr>
        <w:rPr>
          <w:rFonts w:ascii="Arial" w:hAnsi="Arial" w:cs="Arial"/>
        </w:rPr>
      </w:pPr>
    </w:p>
    <w:p w:rsidR="00933424" w:rsidRDefault="00933424" w:rsidP="006A3249">
      <w:pPr>
        <w:numPr>
          <w:ilvl w:val="0"/>
          <w:numId w:val="6"/>
        </w:numPr>
        <w:ind w:left="360"/>
        <w:rPr>
          <w:rFonts w:ascii="Arial" w:hAnsi="Arial" w:cs="Arial"/>
        </w:rPr>
      </w:pPr>
      <w:r w:rsidRPr="000B679F">
        <w:rPr>
          <w:rFonts w:ascii="Arial" w:hAnsi="Arial" w:cs="Arial"/>
        </w:rPr>
        <w:t xml:space="preserve">As under Option 2, there are expected to be </w:t>
      </w:r>
      <w:r w:rsidRPr="000B679F">
        <w:rPr>
          <w:rFonts w:ascii="Arial" w:hAnsi="Arial" w:cs="Arial"/>
          <w:b/>
        </w:rPr>
        <w:t>no additional costs</w:t>
      </w:r>
      <w:r w:rsidRPr="000B679F">
        <w:rPr>
          <w:rFonts w:ascii="Arial" w:hAnsi="Arial" w:cs="Arial"/>
        </w:rPr>
        <w:t xml:space="preserve"> for training under Option 3. This is because for APTs, very little is changing between Options 2 and 3; and for embalmers, </w:t>
      </w:r>
      <w:proofErr w:type="gramStart"/>
      <w:r w:rsidRPr="000B679F">
        <w:rPr>
          <w:rFonts w:ascii="Arial" w:hAnsi="Arial" w:cs="Arial"/>
        </w:rPr>
        <w:t>a small proportion are</w:t>
      </w:r>
      <w:proofErr w:type="gramEnd"/>
      <w:r w:rsidRPr="000B679F">
        <w:rPr>
          <w:rFonts w:ascii="Arial" w:hAnsi="Arial" w:cs="Arial"/>
        </w:rPr>
        <w:t xml:space="preserve"> expected by HSE to already have the necessary skills in place to embalm bodies </w:t>
      </w:r>
      <w:r w:rsidR="00440F8C" w:rsidRPr="000B679F">
        <w:rPr>
          <w:rFonts w:ascii="Arial" w:hAnsi="Arial" w:cs="Arial"/>
        </w:rPr>
        <w:t xml:space="preserve">with </w:t>
      </w:r>
      <w:r w:rsidRPr="000B679F">
        <w:rPr>
          <w:rFonts w:ascii="Arial" w:hAnsi="Arial" w:cs="Arial"/>
        </w:rPr>
        <w:t xml:space="preserve">HG3 </w:t>
      </w:r>
      <w:r w:rsidR="00FD17A1" w:rsidRPr="000B679F">
        <w:rPr>
          <w:rFonts w:ascii="Arial" w:hAnsi="Arial" w:cs="Arial"/>
        </w:rPr>
        <w:t>BBVs</w:t>
      </w:r>
      <w:r w:rsidRPr="000B679F">
        <w:rPr>
          <w:rFonts w:ascii="Arial" w:hAnsi="Arial" w:cs="Arial"/>
        </w:rPr>
        <w:t xml:space="preserve">. </w:t>
      </w:r>
      <w:r w:rsidR="000B679F" w:rsidRPr="000B679F">
        <w:rPr>
          <w:rFonts w:ascii="Arial" w:hAnsi="Arial" w:cs="Arial"/>
        </w:rPr>
        <w:t xml:space="preserve"> </w:t>
      </w:r>
    </w:p>
    <w:p w:rsidR="000B679F" w:rsidRPr="000B679F" w:rsidRDefault="000B679F" w:rsidP="000B679F">
      <w:pPr>
        <w:ind w:left="360"/>
        <w:rPr>
          <w:rFonts w:ascii="Arial" w:hAnsi="Arial" w:cs="Arial"/>
        </w:rPr>
      </w:pPr>
    </w:p>
    <w:p w:rsidR="00933424" w:rsidRPr="000F68B3" w:rsidRDefault="00933424" w:rsidP="006A3249">
      <w:pPr>
        <w:numPr>
          <w:ilvl w:val="0"/>
          <w:numId w:val="6"/>
        </w:numPr>
        <w:ind w:left="360"/>
        <w:rPr>
          <w:rFonts w:ascii="Arial" w:hAnsi="Arial" w:cs="Arial"/>
        </w:rPr>
      </w:pPr>
      <w:r w:rsidRPr="000F68B3">
        <w:rPr>
          <w:rFonts w:ascii="Arial" w:hAnsi="Arial" w:cs="Arial"/>
        </w:rPr>
        <w:t xml:space="preserve">For those embalmers that do not already have the necessary skills or experience and choose to seek out training, this would be based on their own assessment of the costs of the training </w:t>
      </w:r>
      <w:r w:rsidRPr="000F68B3">
        <w:rPr>
          <w:rFonts w:ascii="Arial" w:hAnsi="Arial" w:cs="Arial"/>
        </w:rPr>
        <w:lastRenderedPageBreak/>
        <w:t>relative to the expected benefits of ‘up-skilling’. As such, they are not expected to do so unless the benefits were greater than the costs and we may say that they would a</w:t>
      </w:r>
      <w:r w:rsidR="00455D34" w:rsidRPr="000F68B3">
        <w:rPr>
          <w:rFonts w:ascii="Arial" w:hAnsi="Arial" w:cs="Arial"/>
        </w:rPr>
        <w:t>t least be made no worse off by</w:t>
      </w:r>
      <w:r w:rsidRPr="000F68B3">
        <w:rPr>
          <w:rFonts w:ascii="Arial" w:hAnsi="Arial" w:cs="Arial"/>
        </w:rPr>
        <w:t xml:space="preserve"> acquiring the training.</w:t>
      </w:r>
    </w:p>
    <w:p w:rsidR="00933424" w:rsidRPr="00933424" w:rsidRDefault="00933424" w:rsidP="00933424">
      <w:pPr>
        <w:rPr>
          <w:rFonts w:ascii="Arial" w:hAnsi="Arial" w:cs="Arial"/>
        </w:rPr>
      </w:pPr>
    </w:p>
    <w:p w:rsidR="00933424" w:rsidRPr="00933424" w:rsidRDefault="00933424" w:rsidP="00933424">
      <w:pPr>
        <w:rPr>
          <w:rFonts w:ascii="Arial" w:hAnsi="Arial" w:cs="Arial"/>
          <w:b/>
        </w:rPr>
      </w:pPr>
      <w:r w:rsidRPr="00933424">
        <w:rPr>
          <w:rFonts w:ascii="Arial" w:hAnsi="Arial" w:cs="Arial"/>
          <w:b/>
        </w:rPr>
        <w:t>Other impacts</w:t>
      </w:r>
    </w:p>
    <w:p w:rsidR="00933424" w:rsidRPr="00933424" w:rsidRDefault="00933424" w:rsidP="00933424">
      <w:pPr>
        <w:rPr>
          <w:rFonts w:ascii="Arial" w:hAnsi="Arial" w:cs="Arial"/>
        </w:rPr>
      </w:pPr>
    </w:p>
    <w:p w:rsidR="00933424" w:rsidRPr="005C76E7" w:rsidRDefault="005C76E7" w:rsidP="005C76E7">
      <w:pPr>
        <w:numPr>
          <w:ilvl w:val="0"/>
          <w:numId w:val="6"/>
        </w:numPr>
        <w:ind w:left="360"/>
        <w:rPr>
          <w:rFonts w:ascii="Arial" w:hAnsi="Arial" w:cs="Arial"/>
        </w:rPr>
      </w:pPr>
      <w:r w:rsidRPr="005C76E7">
        <w:rPr>
          <w:rFonts w:ascii="Arial" w:hAnsi="Arial" w:cs="Arial"/>
        </w:rPr>
        <w:t>The current</w:t>
      </w:r>
      <w:r w:rsidR="00933424" w:rsidRPr="005C76E7">
        <w:rPr>
          <w:rFonts w:ascii="Arial" w:hAnsi="Arial" w:cs="Arial"/>
        </w:rPr>
        <w:t xml:space="preserve"> HSE guidance </w:t>
      </w:r>
      <w:r w:rsidRPr="005C76E7">
        <w:rPr>
          <w:rFonts w:ascii="Arial" w:hAnsi="Arial" w:cs="Arial"/>
        </w:rPr>
        <w:t xml:space="preserve">can be used as a decision for not embalming the deceased with a HG3 BBV without giving thought to the risks and whether they can be controlled effectively.  This inevitably can cause distress to the bereaved relatives.   This change to the guidance on embalming is intended to address this by providing flexibility for embalming the deceased with HG3 BBVs to take place using safe working practices.  If a funeral director is unable to provide this service, </w:t>
      </w:r>
      <w:r w:rsidR="00933424" w:rsidRPr="005C76E7">
        <w:rPr>
          <w:rFonts w:ascii="Arial" w:hAnsi="Arial" w:cs="Arial"/>
        </w:rPr>
        <w:t>it will be expected that the relatives could ask to refer the body to a specialist embalmer who had the facility and skills to carry out such a procedure.</w:t>
      </w:r>
      <w:r w:rsidRPr="005C76E7">
        <w:rPr>
          <w:rFonts w:ascii="Arial" w:hAnsi="Arial" w:cs="Arial"/>
        </w:rPr>
        <w:t xml:space="preserve">  This change will also enable the deceased with HG3 BBVs to be repatriated as they currently cannot be transported abroad without embalming taking place as it presents an infection risk. </w:t>
      </w:r>
    </w:p>
    <w:p w:rsidR="005C76E7" w:rsidRPr="00933424" w:rsidRDefault="005C76E7" w:rsidP="005C76E7">
      <w:pPr>
        <w:ind w:left="360"/>
        <w:rPr>
          <w:rFonts w:ascii="Arial" w:hAnsi="Arial" w:cs="Arial"/>
        </w:rPr>
      </w:pPr>
    </w:p>
    <w:p w:rsidR="00933424" w:rsidRPr="00933424" w:rsidRDefault="00933424" w:rsidP="00933424">
      <w:pPr>
        <w:rPr>
          <w:rFonts w:ascii="Arial" w:hAnsi="Arial" w:cs="Arial"/>
          <w:b/>
        </w:rPr>
      </w:pPr>
      <w:r w:rsidRPr="00933424">
        <w:rPr>
          <w:rFonts w:ascii="Arial" w:hAnsi="Arial" w:cs="Arial"/>
          <w:b/>
        </w:rPr>
        <w:t>Rationale and evidence that justify the level of analysis in the BEA</w:t>
      </w:r>
    </w:p>
    <w:p w:rsidR="00933424" w:rsidRPr="00933424" w:rsidRDefault="00933424" w:rsidP="00933424">
      <w:pPr>
        <w:rPr>
          <w:rFonts w:ascii="Arial" w:hAnsi="Arial" w:cs="Arial"/>
        </w:rPr>
      </w:pPr>
    </w:p>
    <w:p w:rsidR="00933424" w:rsidRPr="00933424" w:rsidRDefault="00933424" w:rsidP="006A3249">
      <w:pPr>
        <w:numPr>
          <w:ilvl w:val="0"/>
          <w:numId w:val="6"/>
        </w:numPr>
        <w:ind w:left="360"/>
        <w:rPr>
          <w:rFonts w:ascii="Arial" w:hAnsi="Arial" w:cs="Arial"/>
        </w:rPr>
      </w:pPr>
      <w:r w:rsidRPr="00933424">
        <w:rPr>
          <w:rFonts w:ascii="Arial" w:hAnsi="Arial" w:cs="Arial"/>
        </w:rPr>
        <w:t xml:space="preserve">To inform this Business Engagement Assessment, HSE has discussed the changes with industry, both informally and at the Working Group </w:t>
      </w:r>
      <w:r w:rsidR="005C69FF">
        <w:rPr>
          <w:rFonts w:ascii="Arial" w:hAnsi="Arial" w:cs="Arial"/>
        </w:rPr>
        <w:t>for the guidance review on c</w:t>
      </w:r>
      <w:r w:rsidRPr="00933424">
        <w:rPr>
          <w:rFonts w:ascii="Arial" w:hAnsi="Arial" w:cs="Arial"/>
        </w:rPr>
        <w:t>ontrolling the risks of infection from the deceased. A series of telephone interviews were carried out with industry representatives to gather specific data for this assessment and feedback will be sought on these estimates from the Working Group to refine them, where possible.</w:t>
      </w:r>
    </w:p>
    <w:p w:rsidR="00933424" w:rsidRPr="00933424" w:rsidRDefault="00933424" w:rsidP="006A3249">
      <w:pPr>
        <w:rPr>
          <w:rFonts w:ascii="Arial" w:hAnsi="Arial" w:cs="Arial"/>
        </w:rPr>
      </w:pPr>
    </w:p>
    <w:p w:rsidR="00933424" w:rsidRPr="00933424" w:rsidRDefault="00933424" w:rsidP="006A3249">
      <w:pPr>
        <w:numPr>
          <w:ilvl w:val="0"/>
          <w:numId w:val="6"/>
        </w:numPr>
        <w:ind w:left="360"/>
        <w:rPr>
          <w:rFonts w:ascii="Arial" w:hAnsi="Arial" w:cs="Arial"/>
        </w:rPr>
      </w:pPr>
      <w:r w:rsidRPr="00933424">
        <w:rPr>
          <w:rFonts w:ascii="Arial" w:hAnsi="Arial" w:cs="Arial"/>
        </w:rPr>
        <w:t>This is considered proportionate to the degree of proposed change to the guidance and the extent of the impact on business.</w:t>
      </w:r>
    </w:p>
    <w:p w:rsidR="00933424" w:rsidRPr="00933424" w:rsidRDefault="00933424" w:rsidP="00933424">
      <w:pPr>
        <w:rPr>
          <w:rFonts w:ascii="Arial" w:hAnsi="Arial" w:cs="Arial"/>
        </w:rPr>
      </w:pPr>
    </w:p>
    <w:p w:rsidR="00933424" w:rsidRPr="00933424" w:rsidRDefault="00933424" w:rsidP="00933424">
      <w:pPr>
        <w:rPr>
          <w:rFonts w:ascii="Arial" w:hAnsi="Arial" w:cs="Arial"/>
          <w:b/>
        </w:rPr>
      </w:pPr>
      <w:r w:rsidRPr="00933424">
        <w:rPr>
          <w:rFonts w:ascii="Arial" w:hAnsi="Arial" w:cs="Arial"/>
          <w:b/>
        </w:rPr>
        <w:t>Wider impacts</w:t>
      </w:r>
    </w:p>
    <w:p w:rsidR="00933424" w:rsidRPr="00933424" w:rsidRDefault="00933424" w:rsidP="00933424">
      <w:pPr>
        <w:rPr>
          <w:rFonts w:ascii="Arial" w:hAnsi="Arial" w:cs="Arial"/>
        </w:rPr>
      </w:pPr>
    </w:p>
    <w:p w:rsidR="00933424" w:rsidRPr="00933424" w:rsidRDefault="00933424" w:rsidP="00933424">
      <w:pPr>
        <w:rPr>
          <w:rFonts w:ascii="Arial" w:hAnsi="Arial" w:cs="Arial"/>
          <w:i/>
        </w:rPr>
      </w:pPr>
      <w:r w:rsidRPr="00933424">
        <w:rPr>
          <w:rFonts w:ascii="Arial" w:hAnsi="Arial" w:cs="Arial"/>
          <w:i/>
        </w:rPr>
        <w:t>Equalities</w:t>
      </w:r>
    </w:p>
    <w:p w:rsidR="00933424" w:rsidRPr="00933424" w:rsidRDefault="00933424" w:rsidP="005810D1">
      <w:pPr>
        <w:rPr>
          <w:rFonts w:ascii="Arial" w:hAnsi="Arial" w:cs="Arial"/>
        </w:rPr>
      </w:pPr>
    </w:p>
    <w:p w:rsidR="00933424" w:rsidRPr="00933424" w:rsidRDefault="00933424" w:rsidP="005810D1">
      <w:pPr>
        <w:numPr>
          <w:ilvl w:val="0"/>
          <w:numId w:val="6"/>
        </w:numPr>
        <w:ind w:left="360"/>
        <w:rPr>
          <w:rFonts w:ascii="Arial" w:hAnsi="Arial" w:cs="Arial"/>
        </w:rPr>
      </w:pPr>
      <w:r w:rsidRPr="00933424">
        <w:rPr>
          <w:rFonts w:ascii="Arial" w:hAnsi="Arial" w:cs="Arial"/>
        </w:rPr>
        <w:t xml:space="preserve">Where the update to the guidance on safe practices for the embalming of </w:t>
      </w:r>
      <w:r w:rsidR="005C69FF">
        <w:rPr>
          <w:rFonts w:ascii="Arial" w:hAnsi="Arial" w:cs="Arial"/>
        </w:rPr>
        <w:t>the deceased with a</w:t>
      </w:r>
      <w:r w:rsidRPr="00933424">
        <w:rPr>
          <w:rFonts w:ascii="Arial" w:hAnsi="Arial" w:cs="Arial"/>
        </w:rPr>
        <w:t xml:space="preserve"> HG3</w:t>
      </w:r>
      <w:r w:rsidR="005C69FF">
        <w:rPr>
          <w:rFonts w:ascii="Arial" w:hAnsi="Arial" w:cs="Arial"/>
        </w:rPr>
        <w:t xml:space="preserve"> BBV</w:t>
      </w:r>
      <w:r w:rsidRPr="00933424">
        <w:rPr>
          <w:rFonts w:ascii="Arial" w:hAnsi="Arial" w:cs="Arial"/>
        </w:rPr>
        <w:t xml:space="preserve"> under Option 3 </w:t>
      </w:r>
      <w:r w:rsidR="006F547F">
        <w:rPr>
          <w:rFonts w:ascii="Arial" w:hAnsi="Arial" w:cs="Arial"/>
        </w:rPr>
        <w:t>is applied this</w:t>
      </w:r>
      <w:r w:rsidRPr="00933424">
        <w:rPr>
          <w:rFonts w:ascii="Arial" w:hAnsi="Arial" w:cs="Arial"/>
        </w:rPr>
        <w:t xml:space="preserve"> will create a greater equalit</w:t>
      </w:r>
      <w:r w:rsidR="00B8000A">
        <w:rPr>
          <w:rFonts w:ascii="Arial" w:hAnsi="Arial" w:cs="Arial"/>
        </w:rPr>
        <w:t>y in provision of such services</w:t>
      </w:r>
      <w:r w:rsidR="00744813">
        <w:rPr>
          <w:rFonts w:ascii="Arial" w:hAnsi="Arial" w:cs="Arial"/>
        </w:rPr>
        <w:t xml:space="preserve"> and </w:t>
      </w:r>
      <w:r w:rsidR="00B8000A">
        <w:rPr>
          <w:rFonts w:ascii="Arial" w:hAnsi="Arial" w:cs="Arial"/>
        </w:rPr>
        <w:t>consistency with</w:t>
      </w:r>
      <w:r w:rsidR="00744813">
        <w:rPr>
          <w:rFonts w:ascii="Arial" w:hAnsi="Arial" w:cs="Arial"/>
        </w:rPr>
        <w:t xml:space="preserve"> the</w:t>
      </w:r>
      <w:r w:rsidR="00B8000A">
        <w:rPr>
          <w:rFonts w:ascii="Arial" w:hAnsi="Arial" w:cs="Arial"/>
        </w:rPr>
        <w:t xml:space="preserve"> healthcare</w:t>
      </w:r>
      <w:r w:rsidR="00744813">
        <w:rPr>
          <w:rFonts w:ascii="Arial" w:hAnsi="Arial" w:cs="Arial"/>
        </w:rPr>
        <w:t xml:space="preserve"> </w:t>
      </w:r>
      <w:r w:rsidR="00B8000A">
        <w:rPr>
          <w:rFonts w:ascii="Arial" w:hAnsi="Arial" w:cs="Arial"/>
        </w:rPr>
        <w:t>sector</w:t>
      </w:r>
      <w:r w:rsidR="00744813">
        <w:rPr>
          <w:rFonts w:ascii="Arial" w:hAnsi="Arial" w:cs="Arial"/>
        </w:rPr>
        <w:t xml:space="preserve"> (post mortem facilities)</w:t>
      </w:r>
      <w:r w:rsidR="00B8000A">
        <w:rPr>
          <w:rFonts w:ascii="Arial" w:hAnsi="Arial" w:cs="Arial"/>
        </w:rPr>
        <w:t>.</w:t>
      </w:r>
    </w:p>
    <w:p w:rsidR="00933424" w:rsidRPr="00933424" w:rsidRDefault="00933424" w:rsidP="005810D1">
      <w:pPr>
        <w:rPr>
          <w:rFonts w:ascii="Arial" w:hAnsi="Arial" w:cs="Arial"/>
        </w:rPr>
      </w:pPr>
    </w:p>
    <w:p w:rsidR="00933424" w:rsidRPr="00933424" w:rsidRDefault="00933424" w:rsidP="005810D1">
      <w:pPr>
        <w:ind w:left="-360" w:firstLine="360"/>
        <w:rPr>
          <w:rFonts w:ascii="Arial" w:hAnsi="Arial" w:cs="Arial"/>
          <w:i/>
        </w:rPr>
      </w:pPr>
      <w:r w:rsidRPr="00933424">
        <w:rPr>
          <w:rFonts w:ascii="Arial" w:hAnsi="Arial" w:cs="Arial"/>
          <w:i/>
        </w:rPr>
        <w:t>Competition</w:t>
      </w:r>
    </w:p>
    <w:p w:rsidR="00933424" w:rsidRPr="00933424" w:rsidRDefault="00933424" w:rsidP="005810D1">
      <w:pPr>
        <w:rPr>
          <w:rFonts w:ascii="Arial" w:hAnsi="Arial" w:cs="Arial"/>
        </w:rPr>
      </w:pPr>
    </w:p>
    <w:p w:rsidR="00933424" w:rsidRPr="00933424" w:rsidRDefault="00933424" w:rsidP="005810D1">
      <w:pPr>
        <w:numPr>
          <w:ilvl w:val="0"/>
          <w:numId w:val="6"/>
        </w:numPr>
        <w:ind w:left="360"/>
        <w:rPr>
          <w:rFonts w:ascii="Arial" w:hAnsi="Arial" w:cs="Arial"/>
        </w:rPr>
      </w:pPr>
      <w:r w:rsidRPr="00933424">
        <w:rPr>
          <w:rFonts w:ascii="Arial" w:hAnsi="Arial" w:cs="Arial"/>
        </w:rPr>
        <w:t xml:space="preserve">Although the precautions for embalming the deceased with a known HG3 </w:t>
      </w:r>
      <w:r w:rsidR="005C69FF">
        <w:rPr>
          <w:rFonts w:ascii="Arial" w:hAnsi="Arial" w:cs="Arial"/>
        </w:rPr>
        <w:t>BBV</w:t>
      </w:r>
      <w:r w:rsidRPr="00933424">
        <w:rPr>
          <w:rFonts w:ascii="Arial" w:hAnsi="Arial" w:cs="Arial"/>
        </w:rPr>
        <w:t xml:space="preserve"> under Option 3 may be seen as creating a barrier to entry, it will not be necessary for incoming embalmers or funeral directors to </w:t>
      </w:r>
      <w:r w:rsidR="005C69FF">
        <w:rPr>
          <w:rFonts w:ascii="Arial" w:hAnsi="Arial" w:cs="Arial"/>
        </w:rPr>
        <w:t>put in place such precautions i</w:t>
      </w:r>
      <w:r w:rsidRPr="00933424">
        <w:rPr>
          <w:rFonts w:ascii="Arial" w:hAnsi="Arial" w:cs="Arial"/>
        </w:rPr>
        <w:t>f they do not wish to perform this type of embalming</w:t>
      </w:r>
      <w:r w:rsidR="005C69FF">
        <w:rPr>
          <w:rFonts w:ascii="Arial" w:hAnsi="Arial" w:cs="Arial"/>
        </w:rPr>
        <w:t>.</w:t>
      </w:r>
      <w:r w:rsidRPr="00933424">
        <w:rPr>
          <w:rFonts w:ascii="Arial" w:hAnsi="Arial" w:cs="Arial"/>
        </w:rPr>
        <w:t xml:space="preserve"> By making guidance on safe embalming more readily available, the updated guidance may encourage competition between the smaller and larger providers.</w:t>
      </w:r>
    </w:p>
    <w:p w:rsidR="00933424" w:rsidRPr="00933424" w:rsidRDefault="00933424" w:rsidP="00933424">
      <w:pPr>
        <w:rPr>
          <w:rFonts w:ascii="Arial" w:hAnsi="Arial" w:cs="Arial"/>
        </w:rPr>
      </w:pPr>
    </w:p>
    <w:p w:rsidR="00933424" w:rsidRPr="00933424" w:rsidRDefault="00933424" w:rsidP="00933424">
      <w:pPr>
        <w:rPr>
          <w:rFonts w:ascii="Arial" w:hAnsi="Arial" w:cs="Arial"/>
          <w:i/>
        </w:rPr>
      </w:pPr>
      <w:r w:rsidRPr="00933424">
        <w:rPr>
          <w:rFonts w:ascii="Arial" w:hAnsi="Arial" w:cs="Arial"/>
          <w:i/>
        </w:rPr>
        <w:t xml:space="preserve">Health and Well-Being </w:t>
      </w:r>
    </w:p>
    <w:p w:rsidR="00933424" w:rsidRPr="00933424" w:rsidRDefault="00933424" w:rsidP="00933424">
      <w:pPr>
        <w:rPr>
          <w:rFonts w:ascii="Arial" w:hAnsi="Arial" w:cs="Arial"/>
        </w:rPr>
      </w:pPr>
    </w:p>
    <w:p w:rsidR="00933424" w:rsidRPr="00933424" w:rsidRDefault="00933424" w:rsidP="005810D1">
      <w:pPr>
        <w:numPr>
          <w:ilvl w:val="0"/>
          <w:numId w:val="6"/>
        </w:numPr>
        <w:ind w:left="360"/>
        <w:rPr>
          <w:rFonts w:ascii="Arial" w:hAnsi="Arial" w:cs="Arial"/>
        </w:rPr>
      </w:pPr>
      <w:r w:rsidRPr="00933424">
        <w:rPr>
          <w:rFonts w:ascii="Arial" w:hAnsi="Arial" w:cs="Arial"/>
        </w:rPr>
        <w:t xml:space="preserve">By providing guidance on safe </w:t>
      </w:r>
      <w:r w:rsidR="005C69FF">
        <w:rPr>
          <w:rFonts w:ascii="Arial" w:hAnsi="Arial" w:cs="Arial"/>
        </w:rPr>
        <w:t xml:space="preserve">working practices </w:t>
      </w:r>
      <w:r w:rsidRPr="00933424">
        <w:rPr>
          <w:rFonts w:ascii="Arial" w:hAnsi="Arial" w:cs="Arial"/>
        </w:rPr>
        <w:t xml:space="preserve">for embalming the deceased with HG3 </w:t>
      </w:r>
      <w:r w:rsidR="005C69FF">
        <w:rPr>
          <w:rFonts w:ascii="Arial" w:hAnsi="Arial" w:cs="Arial"/>
        </w:rPr>
        <w:t>BBVs</w:t>
      </w:r>
      <w:r w:rsidRPr="00933424">
        <w:rPr>
          <w:rFonts w:ascii="Arial" w:hAnsi="Arial" w:cs="Arial"/>
        </w:rPr>
        <w:t xml:space="preserve">, Option 3 may help embalmers to reduce the risk of harm to </w:t>
      </w:r>
      <w:proofErr w:type="gramStart"/>
      <w:r w:rsidRPr="00933424">
        <w:rPr>
          <w:rFonts w:ascii="Arial" w:hAnsi="Arial" w:cs="Arial"/>
        </w:rPr>
        <w:t>themselves</w:t>
      </w:r>
      <w:proofErr w:type="gramEnd"/>
      <w:r w:rsidRPr="00933424">
        <w:rPr>
          <w:rFonts w:ascii="Arial" w:hAnsi="Arial" w:cs="Arial"/>
        </w:rPr>
        <w:t xml:space="preserve">. </w:t>
      </w:r>
      <w:r w:rsidRPr="000B679F">
        <w:rPr>
          <w:rFonts w:ascii="Arial" w:hAnsi="Arial" w:cs="Arial"/>
        </w:rPr>
        <w:t>However, there is not available data on infections from embalming and it is not possible to estimate the risk reduction, if any, as a result of the updated guidance.</w:t>
      </w:r>
      <w:r w:rsidRPr="00933424">
        <w:rPr>
          <w:rFonts w:ascii="Arial" w:hAnsi="Arial" w:cs="Arial"/>
        </w:rPr>
        <w:t xml:space="preserve"> </w:t>
      </w:r>
    </w:p>
    <w:p w:rsidR="00933424" w:rsidRPr="00933424" w:rsidRDefault="00933424" w:rsidP="005810D1">
      <w:pPr>
        <w:rPr>
          <w:rFonts w:ascii="Arial" w:hAnsi="Arial" w:cs="Arial"/>
        </w:rPr>
      </w:pPr>
    </w:p>
    <w:p w:rsidR="00933424" w:rsidRPr="00744813" w:rsidRDefault="00933424" w:rsidP="00744813">
      <w:pPr>
        <w:numPr>
          <w:ilvl w:val="0"/>
          <w:numId w:val="6"/>
        </w:numPr>
        <w:ind w:left="360"/>
        <w:rPr>
          <w:rFonts w:ascii="Arial" w:hAnsi="Arial" w:cs="Arial"/>
        </w:rPr>
      </w:pPr>
      <w:r w:rsidRPr="00744813">
        <w:rPr>
          <w:rFonts w:ascii="Arial" w:hAnsi="Arial" w:cs="Arial"/>
        </w:rPr>
        <w:t xml:space="preserve">Option 3 </w:t>
      </w:r>
      <w:r w:rsidR="00B8000A" w:rsidRPr="00744813">
        <w:rPr>
          <w:rFonts w:ascii="Arial" w:hAnsi="Arial" w:cs="Arial"/>
        </w:rPr>
        <w:t>will provide</w:t>
      </w:r>
      <w:r w:rsidR="005C69FF" w:rsidRPr="00744813">
        <w:rPr>
          <w:rFonts w:ascii="Arial" w:hAnsi="Arial" w:cs="Arial"/>
        </w:rPr>
        <w:t xml:space="preserve"> more flexibility to</w:t>
      </w:r>
      <w:r w:rsidRPr="00744813">
        <w:rPr>
          <w:rFonts w:ascii="Arial" w:hAnsi="Arial" w:cs="Arial"/>
        </w:rPr>
        <w:t xml:space="preserve"> embalming the deceased with </w:t>
      </w:r>
      <w:r w:rsidR="00440F8C" w:rsidRPr="00744813">
        <w:rPr>
          <w:rFonts w:ascii="Arial" w:hAnsi="Arial" w:cs="Arial"/>
        </w:rPr>
        <w:t xml:space="preserve">HG3 </w:t>
      </w:r>
      <w:r w:rsidR="005C69FF" w:rsidRPr="00744813">
        <w:rPr>
          <w:rFonts w:ascii="Arial" w:hAnsi="Arial" w:cs="Arial"/>
        </w:rPr>
        <w:t>BBVs</w:t>
      </w:r>
      <w:r w:rsidRPr="00744813">
        <w:rPr>
          <w:rFonts w:ascii="Arial" w:hAnsi="Arial" w:cs="Arial"/>
        </w:rPr>
        <w:t xml:space="preserve"> safely embalmed in line with the family’s wishes, where otherwise they would not be embalmed at all</w:t>
      </w:r>
      <w:r w:rsidR="00744813" w:rsidRPr="00744813">
        <w:rPr>
          <w:rFonts w:ascii="Arial" w:hAnsi="Arial" w:cs="Arial"/>
        </w:rPr>
        <w:t xml:space="preserve"> and subsequently</w:t>
      </w:r>
      <w:r w:rsidRPr="00744813">
        <w:rPr>
          <w:rFonts w:ascii="Arial" w:hAnsi="Arial" w:cs="Arial"/>
        </w:rPr>
        <w:t xml:space="preserve"> reduce the distress of the family.</w:t>
      </w:r>
    </w:p>
    <w:p w:rsidR="00933424" w:rsidRPr="00933424" w:rsidRDefault="00933424" w:rsidP="00933424">
      <w:pPr>
        <w:rPr>
          <w:rFonts w:ascii="Arial" w:hAnsi="Arial" w:cs="Arial"/>
        </w:rPr>
      </w:pPr>
    </w:p>
    <w:p w:rsidR="00933424" w:rsidRPr="00933424" w:rsidRDefault="00933424" w:rsidP="005C69FF">
      <w:pPr>
        <w:rPr>
          <w:rFonts w:ascii="Arial" w:hAnsi="Arial" w:cs="Arial"/>
          <w:b/>
        </w:rPr>
      </w:pPr>
      <w:r w:rsidRPr="00933424">
        <w:rPr>
          <w:rFonts w:ascii="Arial" w:hAnsi="Arial" w:cs="Arial"/>
          <w:b/>
        </w:rPr>
        <w:t>Other Wider Impacts</w:t>
      </w:r>
    </w:p>
    <w:p w:rsidR="00933424" w:rsidRPr="00933424" w:rsidRDefault="00933424" w:rsidP="00933424">
      <w:pPr>
        <w:rPr>
          <w:rFonts w:ascii="Arial" w:hAnsi="Arial" w:cs="Arial"/>
        </w:rPr>
      </w:pPr>
    </w:p>
    <w:p w:rsidR="00933424" w:rsidRPr="00933424" w:rsidRDefault="00933424" w:rsidP="005C69FF">
      <w:pPr>
        <w:numPr>
          <w:ilvl w:val="0"/>
          <w:numId w:val="6"/>
        </w:numPr>
        <w:ind w:left="360"/>
        <w:rPr>
          <w:rFonts w:ascii="Arial" w:hAnsi="Arial" w:cs="Arial"/>
        </w:rPr>
      </w:pPr>
      <w:r w:rsidRPr="00933424">
        <w:rPr>
          <w:rFonts w:ascii="Arial" w:hAnsi="Arial" w:cs="Arial"/>
        </w:rPr>
        <w:t>HSE have considered the other wider impact tests – environmental, human rights, justice, rural-proofing and sustainable development – and found them neutral.</w:t>
      </w:r>
    </w:p>
    <w:p w:rsidR="00933424" w:rsidRPr="00933424" w:rsidRDefault="00933424" w:rsidP="005C69FF">
      <w:pPr>
        <w:rPr>
          <w:rFonts w:ascii="Arial" w:hAnsi="Arial" w:cs="Arial"/>
          <w:b/>
        </w:rPr>
      </w:pPr>
    </w:p>
    <w:p w:rsidR="00933424" w:rsidRPr="00933424" w:rsidRDefault="00933424" w:rsidP="005C69FF">
      <w:pPr>
        <w:rPr>
          <w:rFonts w:ascii="Arial" w:hAnsi="Arial" w:cs="Arial"/>
          <w:b/>
        </w:rPr>
      </w:pPr>
      <w:r w:rsidRPr="00933424">
        <w:rPr>
          <w:rFonts w:ascii="Arial" w:hAnsi="Arial" w:cs="Arial"/>
          <w:b/>
        </w:rPr>
        <w:t>Summary and preferred option with description of implementation plan</w:t>
      </w:r>
    </w:p>
    <w:p w:rsidR="00933424" w:rsidRPr="00933424" w:rsidRDefault="00933424" w:rsidP="005C69FF">
      <w:pPr>
        <w:rPr>
          <w:rFonts w:ascii="Arial" w:hAnsi="Arial" w:cs="Arial"/>
        </w:rPr>
      </w:pPr>
    </w:p>
    <w:p w:rsidR="00933424" w:rsidRPr="00933424" w:rsidRDefault="00933424" w:rsidP="005C69FF">
      <w:pPr>
        <w:numPr>
          <w:ilvl w:val="0"/>
          <w:numId w:val="6"/>
        </w:numPr>
        <w:ind w:left="360"/>
        <w:rPr>
          <w:rFonts w:ascii="Arial" w:hAnsi="Arial" w:cs="Arial"/>
        </w:rPr>
      </w:pPr>
      <w:r w:rsidRPr="00933424">
        <w:rPr>
          <w:rFonts w:ascii="Arial" w:hAnsi="Arial" w:cs="Arial"/>
        </w:rPr>
        <w:t>Option 3 is the preferred option. HSE is proposing to revise the human remains and mortuary and post mortem guidance to ensure they reflect the most current information on controlling the risks of infection when working with the deceased.  At the same time, we are looking to combine and align the two documents where possible as the processes are interlinked and have cross-cutting issues.</w:t>
      </w:r>
    </w:p>
    <w:p w:rsidR="00933424" w:rsidRPr="00933424" w:rsidRDefault="00933424" w:rsidP="005C69FF">
      <w:pPr>
        <w:ind w:left="-720" w:firstLine="72"/>
        <w:rPr>
          <w:rFonts w:ascii="Arial" w:hAnsi="Arial" w:cs="Arial"/>
        </w:rPr>
      </w:pPr>
    </w:p>
    <w:p w:rsidR="00933424" w:rsidRPr="00933424" w:rsidRDefault="00933424" w:rsidP="005C69FF">
      <w:pPr>
        <w:numPr>
          <w:ilvl w:val="0"/>
          <w:numId w:val="6"/>
        </w:numPr>
        <w:ind w:left="360"/>
        <w:rPr>
          <w:rFonts w:ascii="Arial" w:hAnsi="Arial" w:cs="Arial"/>
        </w:rPr>
      </w:pPr>
      <w:r w:rsidRPr="00933424">
        <w:rPr>
          <w:rFonts w:ascii="Arial" w:hAnsi="Arial" w:cs="Arial"/>
        </w:rPr>
        <w:t xml:space="preserve">The costs are estimated to come about through familiarisation, estimated at a present value of between about </w:t>
      </w:r>
      <w:r w:rsidRPr="00B50CB1">
        <w:rPr>
          <w:rFonts w:ascii="Arial" w:hAnsi="Arial" w:cs="Arial"/>
          <w:b/>
        </w:rPr>
        <w:t>£</w:t>
      </w:r>
      <w:r w:rsidR="00B50CB1">
        <w:rPr>
          <w:rFonts w:ascii="Arial" w:hAnsi="Arial" w:cs="Arial"/>
          <w:b/>
        </w:rPr>
        <w:t>210</w:t>
      </w:r>
      <w:r w:rsidRPr="00B50CB1">
        <w:rPr>
          <w:rFonts w:ascii="Arial" w:hAnsi="Arial" w:cs="Arial"/>
          <w:b/>
        </w:rPr>
        <w:t xml:space="preserve"> thousand and £7</w:t>
      </w:r>
      <w:r w:rsidR="00B50CB1">
        <w:rPr>
          <w:rFonts w:ascii="Arial" w:hAnsi="Arial" w:cs="Arial"/>
          <w:b/>
        </w:rPr>
        <w:t>60</w:t>
      </w:r>
      <w:r w:rsidRPr="00B50CB1">
        <w:rPr>
          <w:rFonts w:ascii="Arial" w:hAnsi="Arial" w:cs="Arial"/>
          <w:b/>
        </w:rPr>
        <w:t xml:space="preserve"> thousand, with a best estimate of around £4</w:t>
      </w:r>
      <w:r w:rsidR="00B50CB1">
        <w:rPr>
          <w:rFonts w:ascii="Arial" w:hAnsi="Arial" w:cs="Arial"/>
          <w:b/>
        </w:rPr>
        <w:t>42</w:t>
      </w:r>
      <w:r w:rsidRPr="00B50CB1">
        <w:rPr>
          <w:rFonts w:ascii="Arial" w:hAnsi="Arial" w:cs="Arial"/>
          <w:b/>
        </w:rPr>
        <w:t xml:space="preserve"> thousand</w:t>
      </w:r>
      <w:r w:rsidRPr="00933424">
        <w:rPr>
          <w:rFonts w:ascii="Arial" w:hAnsi="Arial" w:cs="Arial"/>
        </w:rPr>
        <w:t>.</w:t>
      </w:r>
    </w:p>
    <w:p w:rsidR="00933424" w:rsidRPr="00933424" w:rsidRDefault="00933424" w:rsidP="005C69FF">
      <w:pPr>
        <w:rPr>
          <w:rFonts w:ascii="Arial" w:hAnsi="Arial" w:cs="Arial"/>
        </w:rPr>
      </w:pPr>
    </w:p>
    <w:p w:rsidR="00933424" w:rsidRPr="00933424" w:rsidRDefault="00933424" w:rsidP="005C69FF">
      <w:pPr>
        <w:numPr>
          <w:ilvl w:val="0"/>
          <w:numId w:val="6"/>
        </w:numPr>
        <w:ind w:left="360"/>
        <w:rPr>
          <w:rFonts w:ascii="Arial" w:hAnsi="Arial" w:cs="Arial"/>
        </w:rPr>
      </w:pPr>
      <w:r w:rsidRPr="00933424">
        <w:rPr>
          <w:rFonts w:ascii="Arial" w:hAnsi="Arial" w:cs="Arial"/>
        </w:rPr>
        <w:t>While embalmers may choose to invest additional cost and time in performing</w:t>
      </w:r>
      <w:r w:rsidR="005C69FF">
        <w:rPr>
          <w:rFonts w:ascii="Arial" w:hAnsi="Arial" w:cs="Arial"/>
        </w:rPr>
        <w:t xml:space="preserve"> embalming on the deceased with</w:t>
      </w:r>
      <w:r w:rsidRPr="00933424">
        <w:rPr>
          <w:rFonts w:ascii="Arial" w:hAnsi="Arial" w:cs="Arial"/>
        </w:rPr>
        <w:t xml:space="preserve"> HG3 </w:t>
      </w:r>
      <w:r w:rsidR="005C69FF">
        <w:rPr>
          <w:rFonts w:ascii="Arial" w:hAnsi="Arial" w:cs="Arial"/>
        </w:rPr>
        <w:t>BBVs</w:t>
      </w:r>
      <w:r w:rsidRPr="00933424">
        <w:rPr>
          <w:rFonts w:ascii="Arial" w:hAnsi="Arial" w:cs="Arial"/>
        </w:rPr>
        <w:t xml:space="preserve"> </w:t>
      </w:r>
      <w:r w:rsidR="005C69FF">
        <w:rPr>
          <w:rFonts w:ascii="Arial" w:hAnsi="Arial" w:cs="Arial"/>
        </w:rPr>
        <w:t>using the safe working practices</w:t>
      </w:r>
      <w:r w:rsidRPr="00933424">
        <w:rPr>
          <w:rFonts w:ascii="Arial" w:hAnsi="Arial" w:cs="Arial"/>
        </w:rPr>
        <w:t xml:space="preserve">, they would not be required to if they do not wish to carry out this work and are assumed to do so only if it </w:t>
      </w:r>
      <w:r w:rsidR="005C69FF">
        <w:rPr>
          <w:rFonts w:ascii="Arial" w:hAnsi="Arial" w:cs="Arial"/>
        </w:rPr>
        <w:t xml:space="preserve">is </w:t>
      </w:r>
      <w:r w:rsidRPr="00933424">
        <w:rPr>
          <w:rFonts w:ascii="Arial" w:hAnsi="Arial" w:cs="Arial"/>
        </w:rPr>
        <w:t>in their business interest.</w:t>
      </w:r>
    </w:p>
    <w:p w:rsidR="00933424" w:rsidRPr="00933424" w:rsidRDefault="00933424" w:rsidP="005C69FF">
      <w:pPr>
        <w:rPr>
          <w:rFonts w:ascii="Arial" w:hAnsi="Arial" w:cs="Arial"/>
        </w:rPr>
      </w:pPr>
    </w:p>
    <w:p w:rsidR="00933424" w:rsidRPr="00933424" w:rsidRDefault="00933424" w:rsidP="005C69FF">
      <w:pPr>
        <w:numPr>
          <w:ilvl w:val="0"/>
          <w:numId w:val="6"/>
        </w:numPr>
        <w:ind w:left="360"/>
        <w:rPr>
          <w:rFonts w:ascii="Arial" w:hAnsi="Arial" w:cs="Arial"/>
        </w:rPr>
      </w:pPr>
      <w:r w:rsidRPr="00933424">
        <w:rPr>
          <w:rFonts w:ascii="Arial" w:hAnsi="Arial" w:cs="Arial"/>
        </w:rPr>
        <w:t>The benefits to business are estimated to come from clearer and more up-to-date guidance for the post mor</w:t>
      </w:r>
      <w:r w:rsidR="005C69FF">
        <w:rPr>
          <w:rFonts w:ascii="Arial" w:hAnsi="Arial" w:cs="Arial"/>
        </w:rPr>
        <w:t>tem sector and defined safe working practices for</w:t>
      </w:r>
      <w:r w:rsidRPr="00933424">
        <w:rPr>
          <w:rFonts w:ascii="Arial" w:hAnsi="Arial" w:cs="Arial"/>
        </w:rPr>
        <w:t xml:space="preserve"> embalming for the funeral sector. These have not been quantified.</w:t>
      </w:r>
    </w:p>
    <w:p w:rsidR="00933424" w:rsidRPr="00933424" w:rsidRDefault="00933424" w:rsidP="005C69FF">
      <w:pPr>
        <w:rPr>
          <w:rFonts w:ascii="Arial" w:hAnsi="Arial" w:cs="Arial"/>
        </w:rPr>
      </w:pPr>
    </w:p>
    <w:p w:rsidR="00933424" w:rsidRDefault="00933424" w:rsidP="005C69FF">
      <w:pPr>
        <w:numPr>
          <w:ilvl w:val="0"/>
          <w:numId w:val="6"/>
        </w:numPr>
        <w:ind w:left="360"/>
        <w:rPr>
          <w:rFonts w:ascii="Arial" w:hAnsi="Arial" w:cs="Arial"/>
        </w:rPr>
      </w:pPr>
      <w:r w:rsidRPr="00933424">
        <w:rPr>
          <w:rFonts w:ascii="Arial" w:hAnsi="Arial" w:cs="Arial"/>
        </w:rPr>
        <w:t>In addition, there are expected to be benefits for the families of the deceased if the updated guidance allows their loved ones to be embalmed where otherwise they would not be.</w:t>
      </w:r>
    </w:p>
    <w:p w:rsidR="00933424" w:rsidRDefault="00933424">
      <w:pPr>
        <w:rPr>
          <w:rFonts w:ascii="Arial" w:hAnsi="Arial" w:cs="Arial"/>
        </w:rPr>
      </w:pPr>
    </w:p>
    <w:p w:rsidR="00933424" w:rsidRPr="00317CE4" w:rsidRDefault="00933424" w:rsidP="00933424">
      <w:pPr>
        <w:rPr>
          <w:rFonts w:ascii="Arial" w:hAnsi="Arial" w:cs="Arial"/>
        </w:rPr>
      </w:pPr>
    </w:p>
    <w:sectPr w:rsidR="00933424" w:rsidRPr="00317CE4" w:rsidSect="00933424">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CB1" w:rsidRDefault="00B50CB1" w:rsidP="00B50CB1">
      <w:r>
        <w:separator/>
      </w:r>
    </w:p>
  </w:endnote>
  <w:endnote w:type="continuationSeparator" w:id="0">
    <w:p w:rsidR="00B50CB1" w:rsidRDefault="00B50CB1" w:rsidP="00B50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CB1" w:rsidRPr="00B50CB1" w:rsidRDefault="00B50CB1">
    <w:pPr>
      <w:pStyle w:val="Footer"/>
      <w:jc w:val="right"/>
      <w:rPr>
        <w:rFonts w:ascii="Arial" w:hAnsi="Arial" w:cs="Arial"/>
        <w:sz w:val="22"/>
      </w:rPr>
    </w:pPr>
    <w:r w:rsidRPr="00B50CB1">
      <w:rPr>
        <w:rFonts w:ascii="Arial" w:hAnsi="Arial" w:cs="Arial"/>
        <w:sz w:val="22"/>
      </w:rPr>
      <w:fldChar w:fldCharType="begin"/>
    </w:r>
    <w:r w:rsidRPr="00B50CB1">
      <w:rPr>
        <w:rFonts w:ascii="Arial" w:hAnsi="Arial" w:cs="Arial"/>
        <w:sz w:val="22"/>
      </w:rPr>
      <w:instrText xml:space="preserve"> PAGE   \* MERGEFORMAT </w:instrText>
    </w:r>
    <w:r w:rsidRPr="00B50CB1">
      <w:rPr>
        <w:rFonts w:ascii="Arial" w:hAnsi="Arial" w:cs="Arial"/>
        <w:sz w:val="22"/>
      </w:rPr>
      <w:fldChar w:fldCharType="separate"/>
    </w:r>
    <w:r w:rsidR="00231FE4">
      <w:rPr>
        <w:rFonts w:ascii="Arial" w:hAnsi="Arial" w:cs="Arial"/>
        <w:noProof/>
        <w:sz w:val="22"/>
      </w:rPr>
      <w:t>11</w:t>
    </w:r>
    <w:r w:rsidRPr="00B50CB1">
      <w:rPr>
        <w:rFonts w:ascii="Arial" w:hAnsi="Arial" w:cs="Arial"/>
        <w:noProof/>
        <w:sz w:val="22"/>
      </w:rPr>
      <w:fldChar w:fldCharType="end"/>
    </w:r>
  </w:p>
  <w:p w:rsidR="00B50CB1" w:rsidRDefault="00B50C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CB1" w:rsidRDefault="00B50CB1" w:rsidP="00B50CB1">
      <w:r>
        <w:separator/>
      </w:r>
    </w:p>
  </w:footnote>
  <w:footnote w:type="continuationSeparator" w:id="0">
    <w:p w:rsidR="00B50CB1" w:rsidRDefault="00B50CB1" w:rsidP="00B50C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570A"/>
    <w:multiLevelType w:val="hybridMultilevel"/>
    <w:tmpl w:val="C21C26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D8577C"/>
    <w:multiLevelType w:val="hybridMultilevel"/>
    <w:tmpl w:val="D5CA1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FD4B37"/>
    <w:multiLevelType w:val="hybridMultilevel"/>
    <w:tmpl w:val="81CC1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735211B"/>
    <w:multiLevelType w:val="hybridMultilevel"/>
    <w:tmpl w:val="A1247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0C383C"/>
    <w:multiLevelType w:val="hybridMultilevel"/>
    <w:tmpl w:val="08089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7A29EF"/>
    <w:multiLevelType w:val="hybridMultilevel"/>
    <w:tmpl w:val="F93651C2"/>
    <w:lvl w:ilvl="0" w:tplc="19D212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D80121D"/>
    <w:multiLevelType w:val="hybridMultilevel"/>
    <w:tmpl w:val="A6989D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E575318"/>
    <w:multiLevelType w:val="hybridMultilevel"/>
    <w:tmpl w:val="0E5AD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11F746F"/>
    <w:multiLevelType w:val="hybridMultilevel"/>
    <w:tmpl w:val="4ECA1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20C1AB2"/>
    <w:multiLevelType w:val="hybridMultilevel"/>
    <w:tmpl w:val="A5E0F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4913ADA"/>
    <w:multiLevelType w:val="hybridMultilevel"/>
    <w:tmpl w:val="169EFE4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182D34BB"/>
    <w:multiLevelType w:val="hybridMultilevel"/>
    <w:tmpl w:val="3CB445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AAC72E5"/>
    <w:multiLevelType w:val="hybridMultilevel"/>
    <w:tmpl w:val="56C09CB0"/>
    <w:lvl w:ilvl="0" w:tplc="19D212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061502D"/>
    <w:multiLevelType w:val="hybridMultilevel"/>
    <w:tmpl w:val="3B5249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7385A76"/>
    <w:multiLevelType w:val="hybridMultilevel"/>
    <w:tmpl w:val="57864C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C1136E2"/>
    <w:multiLevelType w:val="hybridMultilevel"/>
    <w:tmpl w:val="59520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0C6599C"/>
    <w:multiLevelType w:val="hybridMultilevel"/>
    <w:tmpl w:val="07C4627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33186AF3"/>
    <w:multiLevelType w:val="hybridMultilevel"/>
    <w:tmpl w:val="5EBCA5F2"/>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3442066B"/>
    <w:multiLevelType w:val="hybridMultilevel"/>
    <w:tmpl w:val="C296A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85D1556"/>
    <w:multiLevelType w:val="hybridMultilevel"/>
    <w:tmpl w:val="7E18E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28519CE"/>
    <w:multiLevelType w:val="hybridMultilevel"/>
    <w:tmpl w:val="67021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53F56AE"/>
    <w:multiLevelType w:val="hybridMultilevel"/>
    <w:tmpl w:val="3D065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B077F2E"/>
    <w:multiLevelType w:val="hybridMultilevel"/>
    <w:tmpl w:val="992C98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CA76177"/>
    <w:multiLevelType w:val="hybridMultilevel"/>
    <w:tmpl w:val="AD82DA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2B525F7"/>
    <w:multiLevelType w:val="hybridMultilevel"/>
    <w:tmpl w:val="6B8EB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954287D"/>
    <w:multiLevelType w:val="hybridMultilevel"/>
    <w:tmpl w:val="FB42AC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A4B3B24"/>
    <w:multiLevelType w:val="hybridMultilevel"/>
    <w:tmpl w:val="4AF65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F592B6A"/>
    <w:multiLevelType w:val="hybridMultilevel"/>
    <w:tmpl w:val="706C52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1997ECC"/>
    <w:multiLevelType w:val="hybridMultilevel"/>
    <w:tmpl w:val="37700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3A1606C"/>
    <w:multiLevelType w:val="hybridMultilevel"/>
    <w:tmpl w:val="B936F0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A104756"/>
    <w:multiLevelType w:val="hybridMultilevel"/>
    <w:tmpl w:val="00D41A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16F032E"/>
    <w:multiLevelType w:val="hybridMultilevel"/>
    <w:tmpl w:val="45C87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F9D000C"/>
    <w:multiLevelType w:val="hybridMultilevel"/>
    <w:tmpl w:val="FE2C7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26"/>
  </w:num>
  <w:num w:numId="3">
    <w:abstractNumId w:val="19"/>
  </w:num>
  <w:num w:numId="4">
    <w:abstractNumId w:val="2"/>
  </w:num>
  <w:num w:numId="5">
    <w:abstractNumId w:val="28"/>
  </w:num>
  <w:num w:numId="6">
    <w:abstractNumId w:val="6"/>
  </w:num>
  <w:num w:numId="7">
    <w:abstractNumId w:val="12"/>
  </w:num>
  <w:num w:numId="8">
    <w:abstractNumId w:val="5"/>
  </w:num>
  <w:num w:numId="9">
    <w:abstractNumId w:val="23"/>
  </w:num>
  <w:num w:numId="10">
    <w:abstractNumId w:val="0"/>
  </w:num>
  <w:num w:numId="11">
    <w:abstractNumId w:val="9"/>
  </w:num>
  <w:num w:numId="12">
    <w:abstractNumId w:val="4"/>
  </w:num>
  <w:num w:numId="13">
    <w:abstractNumId w:val="21"/>
  </w:num>
  <w:num w:numId="14">
    <w:abstractNumId w:val="30"/>
  </w:num>
  <w:num w:numId="15">
    <w:abstractNumId w:val="7"/>
  </w:num>
  <w:num w:numId="16">
    <w:abstractNumId w:val="16"/>
  </w:num>
  <w:num w:numId="17">
    <w:abstractNumId w:val="8"/>
  </w:num>
  <w:num w:numId="18">
    <w:abstractNumId w:val="3"/>
  </w:num>
  <w:num w:numId="19">
    <w:abstractNumId w:val="10"/>
  </w:num>
  <w:num w:numId="20">
    <w:abstractNumId w:val="22"/>
  </w:num>
  <w:num w:numId="21">
    <w:abstractNumId w:val="20"/>
  </w:num>
  <w:num w:numId="22">
    <w:abstractNumId w:val="13"/>
  </w:num>
  <w:num w:numId="23">
    <w:abstractNumId w:val="17"/>
  </w:num>
  <w:num w:numId="24">
    <w:abstractNumId w:val="29"/>
  </w:num>
  <w:num w:numId="25">
    <w:abstractNumId w:val="24"/>
  </w:num>
  <w:num w:numId="26">
    <w:abstractNumId w:val="11"/>
  </w:num>
  <w:num w:numId="27">
    <w:abstractNumId w:val="27"/>
  </w:num>
  <w:num w:numId="28">
    <w:abstractNumId w:val="14"/>
  </w:num>
  <w:num w:numId="29">
    <w:abstractNumId w:val="15"/>
  </w:num>
  <w:num w:numId="30">
    <w:abstractNumId w:val="1"/>
  </w:num>
  <w:num w:numId="31">
    <w:abstractNumId w:val="18"/>
  </w:num>
  <w:num w:numId="32">
    <w:abstractNumId w:val="25"/>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996"/>
    <w:rsid w:val="00026393"/>
    <w:rsid w:val="00042236"/>
    <w:rsid w:val="000528FF"/>
    <w:rsid w:val="000914A0"/>
    <w:rsid w:val="000A4363"/>
    <w:rsid w:val="000B679F"/>
    <w:rsid w:val="000C41F1"/>
    <w:rsid w:val="000F68B3"/>
    <w:rsid w:val="00172946"/>
    <w:rsid w:val="00176EC6"/>
    <w:rsid w:val="00214A31"/>
    <w:rsid w:val="00221237"/>
    <w:rsid w:val="00223D21"/>
    <w:rsid w:val="00231FE4"/>
    <w:rsid w:val="00266C28"/>
    <w:rsid w:val="002803E0"/>
    <w:rsid w:val="002D7984"/>
    <w:rsid w:val="002E1F7A"/>
    <w:rsid w:val="002E2C61"/>
    <w:rsid w:val="002E344B"/>
    <w:rsid w:val="00317CE4"/>
    <w:rsid w:val="00362C68"/>
    <w:rsid w:val="003A2996"/>
    <w:rsid w:val="003B11C9"/>
    <w:rsid w:val="003E45FB"/>
    <w:rsid w:val="003F50E2"/>
    <w:rsid w:val="00413D78"/>
    <w:rsid w:val="00440F8C"/>
    <w:rsid w:val="00455D34"/>
    <w:rsid w:val="004761CC"/>
    <w:rsid w:val="00483D91"/>
    <w:rsid w:val="004924B3"/>
    <w:rsid w:val="0049597D"/>
    <w:rsid w:val="004B62BF"/>
    <w:rsid w:val="004D02EA"/>
    <w:rsid w:val="004F0F7B"/>
    <w:rsid w:val="004F61A4"/>
    <w:rsid w:val="00504D3C"/>
    <w:rsid w:val="00544A6B"/>
    <w:rsid w:val="0056081D"/>
    <w:rsid w:val="0056498D"/>
    <w:rsid w:val="005810D1"/>
    <w:rsid w:val="005B2E9C"/>
    <w:rsid w:val="005B3185"/>
    <w:rsid w:val="005C69FF"/>
    <w:rsid w:val="005C76E7"/>
    <w:rsid w:val="00622231"/>
    <w:rsid w:val="006A3249"/>
    <w:rsid w:val="006D0020"/>
    <w:rsid w:val="006D38C3"/>
    <w:rsid w:val="006F4568"/>
    <w:rsid w:val="006F547F"/>
    <w:rsid w:val="00725176"/>
    <w:rsid w:val="00744813"/>
    <w:rsid w:val="00756AA5"/>
    <w:rsid w:val="00763F67"/>
    <w:rsid w:val="007B5779"/>
    <w:rsid w:val="007E1B12"/>
    <w:rsid w:val="00816CCC"/>
    <w:rsid w:val="00892175"/>
    <w:rsid w:val="00896C97"/>
    <w:rsid w:val="00926912"/>
    <w:rsid w:val="00931FCF"/>
    <w:rsid w:val="00933424"/>
    <w:rsid w:val="00941B25"/>
    <w:rsid w:val="00975CDE"/>
    <w:rsid w:val="00980DE2"/>
    <w:rsid w:val="00994D98"/>
    <w:rsid w:val="009E6650"/>
    <w:rsid w:val="00A709B5"/>
    <w:rsid w:val="00AA247E"/>
    <w:rsid w:val="00AC4960"/>
    <w:rsid w:val="00AC6AE4"/>
    <w:rsid w:val="00B268E0"/>
    <w:rsid w:val="00B50CB1"/>
    <w:rsid w:val="00B57B37"/>
    <w:rsid w:val="00B77A49"/>
    <w:rsid w:val="00B8000A"/>
    <w:rsid w:val="00BE550A"/>
    <w:rsid w:val="00C03798"/>
    <w:rsid w:val="00C351F1"/>
    <w:rsid w:val="00C57384"/>
    <w:rsid w:val="00C6603D"/>
    <w:rsid w:val="00C70BC9"/>
    <w:rsid w:val="00D85E22"/>
    <w:rsid w:val="00DB6B4D"/>
    <w:rsid w:val="00DB7D95"/>
    <w:rsid w:val="00DC701E"/>
    <w:rsid w:val="00E02214"/>
    <w:rsid w:val="00E4236F"/>
    <w:rsid w:val="00E56F8B"/>
    <w:rsid w:val="00E621FE"/>
    <w:rsid w:val="00ED598D"/>
    <w:rsid w:val="00EE4955"/>
    <w:rsid w:val="00F15F7D"/>
    <w:rsid w:val="00F16070"/>
    <w:rsid w:val="00F17ECA"/>
    <w:rsid w:val="00F66288"/>
    <w:rsid w:val="00F77CDE"/>
    <w:rsid w:val="00F84AF3"/>
    <w:rsid w:val="00FB1D15"/>
    <w:rsid w:val="00FB69FC"/>
    <w:rsid w:val="00FD17A1"/>
    <w:rsid w:val="00FE1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544A6B"/>
    <w:rPr>
      <w:sz w:val="16"/>
      <w:szCs w:val="16"/>
    </w:rPr>
  </w:style>
  <w:style w:type="paragraph" w:styleId="CommentText">
    <w:name w:val="annotation text"/>
    <w:basedOn w:val="Normal"/>
    <w:link w:val="CommentTextChar"/>
    <w:rsid w:val="00544A6B"/>
    <w:rPr>
      <w:sz w:val="20"/>
      <w:szCs w:val="20"/>
    </w:rPr>
  </w:style>
  <w:style w:type="character" w:customStyle="1" w:styleId="CommentTextChar">
    <w:name w:val="Comment Text Char"/>
    <w:basedOn w:val="DefaultParagraphFont"/>
    <w:link w:val="CommentText"/>
    <w:rsid w:val="00544A6B"/>
  </w:style>
  <w:style w:type="paragraph" w:styleId="CommentSubject">
    <w:name w:val="annotation subject"/>
    <w:basedOn w:val="CommentText"/>
    <w:next w:val="CommentText"/>
    <w:link w:val="CommentSubjectChar"/>
    <w:rsid w:val="00544A6B"/>
    <w:rPr>
      <w:b/>
      <w:bCs/>
    </w:rPr>
  </w:style>
  <w:style w:type="character" w:customStyle="1" w:styleId="CommentSubjectChar">
    <w:name w:val="Comment Subject Char"/>
    <w:link w:val="CommentSubject"/>
    <w:rsid w:val="00544A6B"/>
    <w:rPr>
      <w:b/>
      <w:bCs/>
    </w:rPr>
  </w:style>
  <w:style w:type="paragraph" w:styleId="BalloonText">
    <w:name w:val="Balloon Text"/>
    <w:basedOn w:val="Normal"/>
    <w:link w:val="BalloonTextChar"/>
    <w:rsid w:val="00544A6B"/>
    <w:rPr>
      <w:rFonts w:ascii="Tahoma" w:hAnsi="Tahoma" w:cs="Tahoma"/>
      <w:sz w:val="16"/>
      <w:szCs w:val="16"/>
    </w:rPr>
  </w:style>
  <w:style w:type="character" w:customStyle="1" w:styleId="BalloonTextChar">
    <w:name w:val="Balloon Text Char"/>
    <w:link w:val="BalloonText"/>
    <w:rsid w:val="00544A6B"/>
    <w:rPr>
      <w:rFonts w:ascii="Tahoma" w:hAnsi="Tahoma" w:cs="Tahoma"/>
      <w:sz w:val="16"/>
      <w:szCs w:val="16"/>
    </w:rPr>
  </w:style>
  <w:style w:type="character" w:styleId="Hyperlink">
    <w:name w:val="Hyperlink"/>
    <w:rsid w:val="00933424"/>
    <w:rPr>
      <w:color w:val="0000FF"/>
      <w:u w:val="single"/>
    </w:rPr>
  </w:style>
  <w:style w:type="table" w:styleId="TableGrid">
    <w:name w:val="Table Grid"/>
    <w:basedOn w:val="TableNormal"/>
    <w:rsid w:val="00FB6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6B4D"/>
    <w:pPr>
      <w:ind w:left="720"/>
    </w:pPr>
  </w:style>
  <w:style w:type="paragraph" w:styleId="Header">
    <w:name w:val="header"/>
    <w:basedOn w:val="Normal"/>
    <w:link w:val="HeaderChar"/>
    <w:rsid w:val="00B50CB1"/>
    <w:pPr>
      <w:tabs>
        <w:tab w:val="center" w:pos="4513"/>
        <w:tab w:val="right" w:pos="9026"/>
      </w:tabs>
    </w:pPr>
  </w:style>
  <w:style w:type="character" w:customStyle="1" w:styleId="HeaderChar">
    <w:name w:val="Header Char"/>
    <w:link w:val="Header"/>
    <w:rsid w:val="00B50CB1"/>
    <w:rPr>
      <w:sz w:val="24"/>
      <w:szCs w:val="24"/>
    </w:rPr>
  </w:style>
  <w:style w:type="paragraph" w:styleId="Footer">
    <w:name w:val="footer"/>
    <w:basedOn w:val="Normal"/>
    <w:link w:val="FooterChar"/>
    <w:uiPriority w:val="99"/>
    <w:rsid w:val="00B50CB1"/>
    <w:pPr>
      <w:tabs>
        <w:tab w:val="center" w:pos="4513"/>
        <w:tab w:val="right" w:pos="9026"/>
      </w:tabs>
    </w:pPr>
  </w:style>
  <w:style w:type="character" w:customStyle="1" w:styleId="FooterChar">
    <w:name w:val="Footer Char"/>
    <w:link w:val="Footer"/>
    <w:uiPriority w:val="99"/>
    <w:rsid w:val="00B50CB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544A6B"/>
    <w:rPr>
      <w:sz w:val="16"/>
      <w:szCs w:val="16"/>
    </w:rPr>
  </w:style>
  <w:style w:type="paragraph" w:styleId="CommentText">
    <w:name w:val="annotation text"/>
    <w:basedOn w:val="Normal"/>
    <w:link w:val="CommentTextChar"/>
    <w:rsid w:val="00544A6B"/>
    <w:rPr>
      <w:sz w:val="20"/>
      <w:szCs w:val="20"/>
    </w:rPr>
  </w:style>
  <w:style w:type="character" w:customStyle="1" w:styleId="CommentTextChar">
    <w:name w:val="Comment Text Char"/>
    <w:basedOn w:val="DefaultParagraphFont"/>
    <w:link w:val="CommentText"/>
    <w:rsid w:val="00544A6B"/>
  </w:style>
  <w:style w:type="paragraph" w:styleId="CommentSubject">
    <w:name w:val="annotation subject"/>
    <w:basedOn w:val="CommentText"/>
    <w:next w:val="CommentText"/>
    <w:link w:val="CommentSubjectChar"/>
    <w:rsid w:val="00544A6B"/>
    <w:rPr>
      <w:b/>
      <w:bCs/>
    </w:rPr>
  </w:style>
  <w:style w:type="character" w:customStyle="1" w:styleId="CommentSubjectChar">
    <w:name w:val="Comment Subject Char"/>
    <w:link w:val="CommentSubject"/>
    <w:rsid w:val="00544A6B"/>
    <w:rPr>
      <w:b/>
      <w:bCs/>
    </w:rPr>
  </w:style>
  <w:style w:type="paragraph" w:styleId="BalloonText">
    <w:name w:val="Balloon Text"/>
    <w:basedOn w:val="Normal"/>
    <w:link w:val="BalloonTextChar"/>
    <w:rsid w:val="00544A6B"/>
    <w:rPr>
      <w:rFonts w:ascii="Tahoma" w:hAnsi="Tahoma" w:cs="Tahoma"/>
      <w:sz w:val="16"/>
      <w:szCs w:val="16"/>
    </w:rPr>
  </w:style>
  <w:style w:type="character" w:customStyle="1" w:styleId="BalloonTextChar">
    <w:name w:val="Balloon Text Char"/>
    <w:link w:val="BalloonText"/>
    <w:rsid w:val="00544A6B"/>
    <w:rPr>
      <w:rFonts w:ascii="Tahoma" w:hAnsi="Tahoma" w:cs="Tahoma"/>
      <w:sz w:val="16"/>
      <w:szCs w:val="16"/>
    </w:rPr>
  </w:style>
  <w:style w:type="character" w:styleId="Hyperlink">
    <w:name w:val="Hyperlink"/>
    <w:rsid w:val="00933424"/>
    <w:rPr>
      <w:color w:val="0000FF"/>
      <w:u w:val="single"/>
    </w:rPr>
  </w:style>
  <w:style w:type="table" w:styleId="TableGrid">
    <w:name w:val="Table Grid"/>
    <w:basedOn w:val="TableNormal"/>
    <w:rsid w:val="00FB6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6B4D"/>
    <w:pPr>
      <w:ind w:left="720"/>
    </w:pPr>
  </w:style>
  <w:style w:type="paragraph" w:styleId="Header">
    <w:name w:val="header"/>
    <w:basedOn w:val="Normal"/>
    <w:link w:val="HeaderChar"/>
    <w:rsid w:val="00B50CB1"/>
    <w:pPr>
      <w:tabs>
        <w:tab w:val="center" w:pos="4513"/>
        <w:tab w:val="right" w:pos="9026"/>
      </w:tabs>
    </w:pPr>
  </w:style>
  <w:style w:type="character" w:customStyle="1" w:styleId="HeaderChar">
    <w:name w:val="Header Char"/>
    <w:link w:val="Header"/>
    <w:rsid w:val="00B50CB1"/>
    <w:rPr>
      <w:sz w:val="24"/>
      <w:szCs w:val="24"/>
    </w:rPr>
  </w:style>
  <w:style w:type="paragraph" w:styleId="Footer">
    <w:name w:val="footer"/>
    <w:basedOn w:val="Normal"/>
    <w:link w:val="FooterChar"/>
    <w:uiPriority w:val="99"/>
    <w:rsid w:val="00B50CB1"/>
    <w:pPr>
      <w:tabs>
        <w:tab w:val="center" w:pos="4513"/>
        <w:tab w:val="right" w:pos="9026"/>
      </w:tabs>
    </w:pPr>
  </w:style>
  <w:style w:type="character" w:customStyle="1" w:styleId="FooterChar">
    <w:name w:val="Footer Char"/>
    <w:link w:val="Footer"/>
    <w:uiPriority w:val="99"/>
    <w:rsid w:val="00B50C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852202">
      <w:bodyDiv w:val="1"/>
      <w:marLeft w:val="0"/>
      <w:marRight w:val="0"/>
      <w:marTop w:val="0"/>
      <w:marBottom w:val="0"/>
      <w:divBdr>
        <w:top w:val="none" w:sz="0" w:space="0" w:color="auto"/>
        <w:left w:val="none" w:sz="0" w:space="0" w:color="auto"/>
        <w:bottom w:val="none" w:sz="0" w:space="0" w:color="auto"/>
        <w:right w:val="none" w:sz="0" w:space="0" w:color="auto"/>
      </w:divBdr>
    </w:div>
    <w:div w:id="2122454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hse.gov.uk/pubns/priced/mortuary-infection.pdf" TargetMode="External"/><Relationship Id="rId4" Type="http://schemas.microsoft.com/office/2007/relationships/stylesWithEffects" Target="stylesWithEffects.xml"/><Relationship Id="rId9" Type="http://schemas.openxmlformats.org/officeDocument/2006/relationships/hyperlink" Target="http://www.hse.gov.uk/pubns/web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26E54-3251-4929-8846-D1B5EE912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4961</Words>
  <Characters>28281</Characters>
  <Application>Microsoft Office Word</Application>
  <DocSecurity>4</DocSecurity>
  <Lines>235</Lines>
  <Paragraphs>66</Paragraphs>
  <ScaleCrop>false</ScaleCrop>
  <HeadingPairs>
    <vt:vector size="2" baseType="variant">
      <vt:variant>
        <vt:lpstr>Title</vt:lpstr>
      </vt:variant>
      <vt:variant>
        <vt:i4>1</vt:i4>
      </vt:variant>
    </vt:vector>
  </HeadingPairs>
  <TitlesOfParts>
    <vt:vector size="1" baseType="lpstr">
      <vt:lpstr>Business Engagement Assessment template</vt:lpstr>
    </vt:vector>
  </TitlesOfParts>
  <Company>Department for Business, Innovation &amp; Skills</Company>
  <LinksUpToDate>false</LinksUpToDate>
  <CharactersWithSpaces>33176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Engagement Assessment template</dc:title>
  <dc:creator>Department for Business, Innovation &amp; Skills</dc:creator>
  <cp:keywords>BIS/13/1042</cp:keywords>
  <cp:lastModifiedBy>Christian Burt</cp:lastModifiedBy>
  <cp:revision>2</cp:revision>
  <cp:lastPrinted>2015-08-05T14:24:00Z</cp:lastPrinted>
  <dcterms:created xsi:type="dcterms:W3CDTF">2015-10-12T08:57:00Z</dcterms:created>
  <dcterms:modified xsi:type="dcterms:W3CDTF">2015-10-12T08:57:00Z</dcterms:modified>
</cp:coreProperties>
</file>